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F" w:rsidRDefault="00BC50FF" w:rsidP="00BC50FF">
      <w:pPr>
        <w:pStyle w:val="Recuodecorpodetexto"/>
        <w:ind w:left="0" w:right="-852"/>
        <w:rPr>
          <w:rFonts w:asciiTheme="minorHAnsi" w:hAnsiTheme="minorHAnsi" w:cs="Arial"/>
          <w:sz w:val="22"/>
          <w:szCs w:val="22"/>
        </w:rPr>
      </w:pPr>
    </w:p>
    <w:p w:rsidR="005053CE" w:rsidRPr="00320C11" w:rsidRDefault="00995F57" w:rsidP="005053CE">
      <w:pPr>
        <w:pStyle w:val="Recuodecorpodetexto"/>
        <w:ind w:left="0" w:right="-852"/>
        <w:jc w:val="center"/>
        <w:rPr>
          <w:rFonts w:asciiTheme="minorHAnsi" w:hAnsiTheme="minorHAnsi"/>
          <w:sz w:val="22"/>
          <w:szCs w:val="22"/>
        </w:rPr>
      </w:pPr>
      <w:r>
        <w:rPr>
          <w:rFonts w:asciiTheme="minorHAnsi" w:hAnsiTheme="minorHAnsi" w:cs="Arial"/>
          <w:sz w:val="22"/>
          <w:szCs w:val="22"/>
        </w:rPr>
        <w:t>PROJETO DE LEI Nº 069</w:t>
      </w:r>
      <w:r w:rsidR="005053CE">
        <w:rPr>
          <w:rFonts w:asciiTheme="minorHAnsi" w:hAnsiTheme="minorHAnsi" w:cs="Arial"/>
          <w:sz w:val="22"/>
          <w:szCs w:val="22"/>
        </w:rPr>
        <w:t xml:space="preserve"> DE </w:t>
      </w:r>
      <w:r w:rsidR="00FF6714">
        <w:rPr>
          <w:rFonts w:asciiTheme="minorHAnsi" w:hAnsiTheme="minorHAnsi" w:cs="Arial"/>
          <w:sz w:val="22"/>
          <w:szCs w:val="22"/>
        </w:rPr>
        <w:t>13</w:t>
      </w:r>
      <w:r w:rsidR="00DF1AEB">
        <w:rPr>
          <w:rFonts w:asciiTheme="minorHAnsi" w:hAnsiTheme="minorHAnsi" w:cs="Arial"/>
          <w:sz w:val="22"/>
          <w:szCs w:val="22"/>
        </w:rPr>
        <w:t xml:space="preserve"> DE NOVEMBRO</w:t>
      </w:r>
      <w:r w:rsidR="005053CE" w:rsidRPr="00320C11">
        <w:rPr>
          <w:rFonts w:asciiTheme="minorHAnsi" w:hAnsiTheme="minorHAnsi" w:cs="Arial"/>
          <w:sz w:val="22"/>
          <w:szCs w:val="22"/>
        </w:rPr>
        <w:t xml:space="preserve"> DE 2019.</w:t>
      </w:r>
    </w:p>
    <w:p w:rsidR="005053CE" w:rsidRDefault="005053CE" w:rsidP="005053CE">
      <w:pPr>
        <w:ind w:left="4536" w:right="-852"/>
        <w:jc w:val="both"/>
        <w:rPr>
          <w:rFonts w:asciiTheme="minorHAnsi" w:hAnsiTheme="minorHAnsi" w:cstheme="majorHAnsi"/>
          <w:sz w:val="22"/>
          <w:szCs w:val="22"/>
        </w:rPr>
      </w:pPr>
    </w:p>
    <w:p w:rsidR="00971EB9" w:rsidRPr="005053CE" w:rsidRDefault="00971EB9" w:rsidP="005053CE">
      <w:pPr>
        <w:ind w:left="5664" w:right="-852"/>
        <w:jc w:val="both"/>
        <w:rPr>
          <w:rFonts w:asciiTheme="minorHAnsi" w:hAnsiTheme="minorHAnsi" w:cstheme="majorHAnsi"/>
          <w:b/>
          <w:sz w:val="22"/>
          <w:szCs w:val="22"/>
        </w:rPr>
      </w:pPr>
      <w:r w:rsidRPr="005053CE">
        <w:rPr>
          <w:rFonts w:asciiTheme="minorHAnsi" w:hAnsiTheme="minorHAnsi" w:cstheme="majorHAnsi"/>
          <w:b/>
          <w:sz w:val="22"/>
          <w:szCs w:val="22"/>
        </w:rPr>
        <w:t>Dispõe sobre a recepção local e à aplicabilidade da Declaração de Direitos de Liberdade Econômica, prevista na Lei Federal nº 13.874, de 20 de setembro de 2019, no âmbito do Município de Salvador do Sul.</w:t>
      </w:r>
    </w:p>
    <w:p w:rsidR="00971EB9" w:rsidRPr="005053CE" w:rsidRDefault="00971EB9"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1º A recepção dos objetivos, dos princípios, dos direitos de pessoas físicas e jurídicas ao desenvolvimento econômico, à livre iniciativa e ao livre exercício de atividade econômica e do dever do ente público não cometer abuso no exercício do poder regulatório, previstos na Lei Federal nº 13.874, de 20 de setembro de 2019, no Município de Salvador do Sul, dar-se-á nos termos desta Lei.</w:t>
      </w:r>
    </w:p>
    <w:p w:rsidR="00971EB9" w:rsidRPr="005053CE" w:rsidRDefault="00971EB9"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2º Para fins de aplicabilidade desta Lei, considera-se:</w:t>
      </w:r>
    </w:p>
    <w:p w:rsid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b/>
      </w:r>
      <w:r w:rsidRPr="005053CE">
        <w:rPr>
          <w:rFonts w:asciiTheme="minorHAnsi" w:hAnsiTheme="minorHAnsi" w:cstheme="majorHAnsi"/>
          <w:sz w:val="22"/>
          <w:szCs w:val="22"/>
        </w:rPr>
        <w:tab/>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 - atividade econômica: o ramo de atividade desejada pelo usuário identificado a partir da Classificação Nacional de Atividades Econômicas - CNAE e da lista de atividades auxiliares regulamentadas pela Comissão Nacional de Classificação - CONCLA do estabelecimento a ela associada, se houver;</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 - grau de risco: nível de perigo potencial de ocorrência de danos à integridade física e à saúde humana, ao meio ambiente ou ao patrimônio em decorrência de exercício de atividade econômica;</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III - parâmetros específicos de grau de risco: dados ou informações, tais como área ocupada, número de pavimentos ocupados para o exercício da atividade, dentre outros, que associados à atividade econômica atribuam a esta determinado grau de risco;</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IV - baixo risco ou "baixo risco A": a classificação de atividades para os fins do inciso I do art. 3º da Lei federal nº 13.874, de 2019, cujo efeito específico e exclusivo é dispensar a necessidade de todos os atos públicos de liberação da atividade econômica para plena e contínua operação e funcionamento do estabelecimento;</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V - médio risco ou "baixo risco B": a classificação de atividades cujo grau de risco não seja considerado alto e que não se enquadrem no conceito de baixo risco ou "baixo risco A", cujo efeito é permitir, automaticamente após o ato do registro, a emissão de licenças, alvarás e similares de caráter provisório para início da operação do estabelecimento, conforme previsto no caput do art. 7º da Lei Complementar Federal nº 123, de 14 de novembro de 2006, e no caput do art. 6º da Lei Federal nº 11.598, de 3 dezembro de 2007; </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VI - alto risco: aquelas assim definidas por outras resoluções do Comitê̂ para Gestão da Rede Nacional para a Simplificação do Registro e da Legalização de Empresas e Negócios - CGSIM ou por regulamento local, em atendimento aos requisitos de segurança sanitária, metrologia, controle ambiental e prevenção contra incêndios;</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VII - pesquisa previa: o ato pelo qual o interessado</w:t>
      </w:r>
      <w:r w:rsidR="003E5F2B">
        <w:rPr>
          <w:rFonts w:asciiTheme="minorHAnsi" w:hAnsiTheme="minorHAnsi" w:cstheme="majorHAnsi"/>
          <w:sz w:val="22"/>
          <w:szCs w:val="22"/>
        </w:rPr>
        <w:t xml:space="preserve"> submete consultas ao Município</w:t>
      </w:r>
      <w:r w:rsidRPr="005053CE">
        <w:rPr>
          <w:rFonts w:asciiTheme="minorHAnsi" w:hAnsiTheme="minorHAnsi" w:cstheme="majorHAnsi"/>
          <w:sz w:val="22"/>
          <w:szCs w:val="22"/>
        </w:rPr>
        <w:t xml:space="preserve"> sobre a possibilidade de exercício da atividade econômica desejada, no local escolhido de acordo com a descrição do endereço, devendo a resposta ser dada em um único atendimento;</w:t>
      </w: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VIII - parecer de viabilidade: a resposta fundamentada do Município que defere ou indefere a pesquisa prévia, no que diz respeito ao exercício da atividade em determinado endereço;</w:t>
      </w:r>
    </w:p>
    <w:p w:rsidR="00971EB9" w:rsidRDefault="00971EB9" w:rsidP="00DF1AEB">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IX - Alvará de Funcionamento Provisório: documento emitido pelo Município para atividades de médio risco ou “baixo risco B” que </w:t>
      </w:r>
      <w:r w:rsidR="003E5F2B" w:rsidRPr="005053CE">
        <w:rPr>
          <w:rFonts w:asciiTheme="minorHAnsi" w:hAnsiTheme="minorHAnsi" w:cstheme="majorHAnsi"/>
          <w:sz w:val="22"/>
          <w:szCs w:val="22"/>
        </w:rPr>
        <w:t>permitirá</w:t>
      </w:r>
      <w:bookmarkStart w:id="0" w:name="_GoBack"/>
      <w:bookmarkEnd w:id="0"/>
      <w:r w:rsidRPr="005053CE">
        <w:rPr>
          <w:rFonts w:asciiTheme="minorHAnsi" w:hAnsiTheme="minorHAnsi" w:cstheme="majorHAnsi"/>
          <w:sz w:val="22"/>
          <w:szCs w:val="22"/>
        </w:rPr>
        <w:t>́ o início de operação do estabelecimento imediatamente após o ato de registro empresarial, sem a necessidade de vistorias prévias por parte dos órgãos e entidades licenciadores, mediante assinatura de Termo de Ciência e Responsabilidade, ressalvadas aquelas que dispensam o referido licenciamento por serem</w:t>
      </w:r>
      <w:r w:rsidR="00DF1AEB">
        <w:rPr>
          <w:rFonts w:asciiTheme="minorHAnsi" w:hAnsiTheme="minorHAnsi" w:cstheme="majorHAnsi"/>
          <w:sz w:val="22"/>
          <w:szCs w:val="22"/>
        </w:rPr>
        <w:t xml:space="preserve"> </w:t>
      </w:r>
      <w:r w:rsidRPr="005053CE">
        <w:rPr>
          <w:rFonts w:asciiTheme="minorHAnsi" w:hAnsiTheme="minorHAnsi" w:cstheme="majorHAnsi"/>
          <w:sz w:val="22"/>
          <w:szCs w:val="22"/>
        </w:rPr>
        <w:t>consideradas como de baixo risco ou “baixo risco A”;</w:t>
      </w:r>
    </w:p>
    <w:p w:rsidR="00DF1AEB" w:rsidRPr="005053CE" w:rsidRDefault="00DF1AEB" w:rsidP="00DF1AEB">
      <w:pPr>
        <w:ind w:left="708" w:right="-852"/>
        <w:jc w:val="both"/>
        <w:rPr>
          <w:rFonts w:asciiTheme="minorHAnsi" w:hAnsiTheme="minorHAnsi" w:cstheme="majorHAnsi"/>
          <w:sz w:val="22"/>
          <w:szCs w:val="22"/>
        </w:rPr>
      </w:pPr>
    </w:p>
    <w:p w:rsidR="00971EB9" w:rsidRPr="005053CE" w:rsidRDefault="00971EB9" w:rsidP="005053CE">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X - Termo de Ciência e Responsabilidade: instrumento em que o empresário ou responsável legal pela sociedade firma compromisso, sob as penas da lei, de observar os requisitos exigidos para funcionamento e exercício das atividades econômicas constantes do objeto social, para efeito de cumprimento das normas de segurança sanitária, ambiental e de prevenção contra incêndios;</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XI - conversão do Alvará de Funcionamento Provisório em Alvará de Funcionamento: caso o Município não promova as respectivas vistorias no prazo de vigência do Alvará de Funcionamento Provisório, este se converterá, automaticamente, em definitivo;</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XII - licenciamento: o procedimento administrativo em que o órgão regulador avalia e verifica o preenchimento de requisitos de segurança̧ sanitária, controle ambiental, prevenção contra incêndios e demais requisitos previstos na legislação para autorizar o funcionamento de empresário individual, de empresa individual de responsabilidade limitada, de sociedade empresária ou de sociedade simples, excepcionado o procedimento vinculado à concessão de uso de espaço público;</w:t>
      </w:r>
    </w:p>
    <w:p w:rsidR="00971EB9"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XIII – </w:t>
      </w:r>
      <w:proofErr w:type="spellStart"/>
      <w:r w:rsidRPr="005053CE">
        <w:rPr>
          <w:rFonts w:asciiTheme="minorHAnsi" w:hAnsiTheme="minorHAnsi" w:cstheme="majorHAnsi"/>
          <w:sz w:val="22"/>
          <w:szCs w:val="22"/>
        </w:rPr>
        <w:t>autodeclaração</w:t>
      </w:r>
      <w:proofErr w:type="spellEnd"/>
      <w:r w:rsidRPr="005053CE">
        <w:rPr>
          <w:rFonts w:asciiTheme="minorHAnsi" w:hAnsiTheme="minorHAnsi" w:cstheme="majorHAnsi"/>
          <w:sz w:val="22"/>
          <w:szCs w:val="22"/>
        </w:rPr>
        <w:t>: instrumento pelo qual a empresa prestará ao Município, sob as penas da lei, o conjunto de informações necessárias ao enquadramento da atividade.</w:t>
      </w:r>
    </w:p>
    <w:p w:rsidR="00263756" w:rsidRPr="005053CE" w:rsidRDefault="00263756" w:rsidP="00263756">
      <w:pPr>
        <w:ind w:left="708" w:right="-852"/>
        <w:jc w:val="both"/>
        <w:rPr>
          <w:rFonts w:asciiTheme="minorHAnsi" w:hAnsiTheme="minorHAnsi" w:cstheme="majorHAnsi"/>
          <w:sz w:val="22"/>
          <w:szCs w:val="22"/>
        </w:rPr>
      </w:pP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 1º Para a realização da pesquisa prévia de que trata o inciso VI, além das atividades econômicas e da descrição do endereço, a Prefeitura poderá́ solicitar outros dados e informações relativos ao imóvel e sua localização, desde que se preserve a emissão eletrônica do parecer de viabilidade por meio de um único atendimento em </w:t>
      </w:r>
      <w:r w:rsidR="00535746" w:rsidRPr="005053CE">
        <w:rPr>
          <w:rFonts w:asciiTheme="minorHAnsi" w:hAnsiTheme="minorHAnsi" w:cstheme="majorHAnsi"/>
          <w:sz w:val="22"/>
          <w:szCs w:val="22"/>
        </w:rPr>
        <w:t>até</w:t>
      </w:r>
      <w:r w:rsidRPr="005053CE">
        <w:rPr>
          <w:rFonts w:asciiTheme="minorHAnsi" w:hAnsiTheme="minorHAnsi" w:cstheme="majorHAnsi"/>
          <w:sz w:val="22"/>
          <w:szCs w:val="22"/>
        </w:rPr>
        <w:t>́ dois dias uteis.</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 2º Em atendimento único, referido no § 1º, a Prefeitura, juntamente com o parecer de viabilidade, deverá </w:t>
      </w:r>
      <w:proofErr w:type="spellStart"/>
      <w:r w:rsidRPr="005053CE">
        <w:rPr>
          <w:rFonts w:asciiTheme="minorHAnsi" w:hAnsiTheme="minorHAnsi" w:cstheme="majorHAnsi"/>
          <w:sz w:val="22"/>
          <w:szCs w:val="22"/>
        </w:rPr>
        <w:t>fornecer</w:t>
      </w:r>
      <w:proofErr w:type="spellEnd"/>
      <w:r w:rsidRPr="005053CE">
        <w:rPr>
          <w:rFonts w:asciiTheme="minorHAnsi" w:hAnsiTheme="minorHAnsi" w:cstheme="majorHAnsi"/>
          <w:sz w:val="22"/>
          <w:szCs w:val="22"/>
        </w:rPr>
        <w:t xml:space="preserve"> todas as informações sobre os requisitos a serem cumpridos pelo interessado para obtenção de licenças de autorização de funcionamento do empreendimento. </w:t>
      </w:r>
      <w:r w:rsidRPr="005053CE">
        <w:rPr>
          <w:rFonts w:asciiTheme="minorHAnsi" w:hAnsiTheme="minorHAnsi" w:cstheme="majorHAnsi"/>
          <w:sz w:val="22"/>
          <w:szCs w:val="22"/>
        </w:rPr>
        <w:tab/>
      </w:r>
    </w:p>
    <w:p w:rsidR="00971EB9" w:rsidRPr="005053CE" w:rsidRDefault="00971EB9" w:rsidP="00263756">
      <w:pPr>
        <w:ind w:left="756" w:right="-852"/>
        <w:jc w:val="both"/>
        <w:rPr>
          <w:rFonts w:asciiTheme="minorHAnsi" w:hAnsiTheme="minorHAnsi" w:cstheme="majorHAnsi"/>
          <w:sz w:val="22"/>
          <w:szCs w:val="22"/>
        </w:rPr>
      </w:pPr>
      <w:r w:rsidRPr="005053CE">
        <w:rPr>
          <w:rFonts w:asciiTheme="minorHAnsi" w:hAnsiTheme="minorHAnsi" w:cstheme="majorHAnsi"/>
          <w:sz w:val="22"/>
          <w:szCs w:val="22"/>
        </w:rPr>
        <w:t>§ 3º As informações, referidas no § 2º, poderão ser fornecidas por meio de indicação de restrições para o exercício das atividades no local escolhido.</w:t>
      </w:r>
    </w:p>
    <w:p w:rsidR="00971EB9" w:rsidRPr="005053CE" w:rsidRDefault="0026375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 4º A observância das restrições referidas no § 3º deverá ser verificada durante o licenciamento.</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 5º O licenciamento de que trata o inciso XII é posterior à emissão do parecer de viabilidade, registro profissional e inscrições tributarias. </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6º Nos casos de atividades de médio risco ou “baixo risco B”, o licenciamento dar-se-á́ após o início de funcionamento da empresa.</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 7º Além de realizar a pesquisa prévia prevista no §1º deste artigo, todo estabelecimento comercial, de prestação de serviços ou industrial, para funcionar, deverá consultar a </w:t>
      </w:r>
      <w:proofErr w:type="spellStart"/>
      <w:r w:rsidRPr="005053CE">
        <w:rPr>
          <w:rFonts w:asciiTheme="minorHAnsi" w:hAnsiTheme="minorHAnsi" w:cstheme="majorHAnsi"/>
          <w:sz w:val="22"/>
          <w:szCs w:val="22"/>
        </w:rPr>
        <w:t>Prefeotura</w:t>
      </w:r>
      <w:proofErr w:type="spellEnd"/>
      <w:r w:rsidRPr="005053CE">
        <w:rPr>
          <w:rFonts w:asciiTheme="minorHAnsi" w:hAnsiTheme="minorHAnsi" w:cstheme="majorHAnsi"/>
          <w:sz w:val="22"/>
          <w:szCs w:val="22"/>
        </w:rPr>
        <w:t xml:space="preserve">, através do </w:t>
      </w:r>
      <w:r w:rsidRPr="005053CE">
        <w:rPr>
          <w:rFonts w:asciiTheme="minorHAnsi" w:hAnsiTheme="minorHAnsi" w:cstheme="majorHAnsi"/>
          <w:i/>
          <w:iCs/>
          <w:sz w:val="22"/>
          <w:szCs w:val="22"/>
        </w:rPr>
        <w:t>site</w:t>
      </w:r>
      <w:r w:rsidRPr="005053CE">
        <w:rPr>
          <w:rFonts w:asciiTheme="minorHAnsi" w:hAnsiTheme="minorHAnsi" w:cstheme="majorHAnsi"/>
          <w:sz w:val="22"/>
          <w:szCs w:val="22"/>
        </w:rPr>
        <w:t xml:space="preserve"> do Município ou pessoalmente, no setor competente, onde será informado sobre o grau de risco do empreendimento e se ele está ou não sujeito a licença prévia municipal e o cumprimento de demais normas. </w:t>
      </w:r>
    </w:p>
    <w:p w:rsidR="00263756" w:rsidRPr="005053CE" w:rsidRDefault="00971EB9" w:rsidP="0053574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xml:space="preserve">§ 8º Para realização da pesquisa prévia o requerente deve preencher formulário de </w:t>
      </w:r>
      <w:proofErr w:type="spellStart"/>
      <w:r w:rsidRPr="005053CE">
        <w:rPr>
          <w:rFonts w:asciiTheme="minorHAnsi" w:hAnsiTheme="minorHAnsi" w:cstheme="majorHAnsi"/>
          <w:sz w:val="22"/>
          <w:szCs w:val="22"/>
        </w:rPr>
        <w:t>autodeclaração</w:t>
      </w:r>
      <w:proofErr w:type="spellEnd"/>
      <w:r w:rsidRPr="005053CE">
        <w:rPr>
          <w:rFonts w:asciiTheme="minorHAnsi" w:hAnsiTheme="minorHAnsi" w:cstheme="majorHAnsi"/>
          <w:sz w:val="22"/>
          <w:szCs w:val="22"/>
        </w:rPr>
        <w:t xml:space="preserve"> prestando as seguintes informações:</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 - dados pessoais: Registro Geral - RG, Cadastro de Pessoa Física - CPF, dados de contato e endereço residencial.</w:t>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 - dados do seu negócio: tipo de atividade econômica, forma de atuação e local onde o negócio é realizado.</w:t>
      </w:r>
    </w:p>
    <w:p w:rsidR="00263756" w:rsidRDefault="00263756"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3º A Prefeitura classificará e enquadrará, por decreto, as atividades econômicas de baixo risco ou de baixo risco A e as atividades de alto risco.</w:t>
      </w:r>
    </w:p>
    <w:p w:rsidR="00263756"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b/>
      </w:r>
      <w:r w:rsidRPr="005053CE">
        <w:rPr>
          <w:rFonts w:asciiTheme="minorHAnsi" w:hAnsiTheme="minorHAnsi" w:cstheme="majorHAnsi"/>
          <w:sz w:val="22"/>
          <w:szCs w:val="22"/>
        </w:rPr>
        <w:tab/>
      </w:r>
    </w:p>
    <w:p w:rsidR="00971EB9" w:rsidRPr="005053CE" w:rsidRDefault="00971EB9" w:rsidP="0026375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1º Serão consideradas de médio risco ou de baixo risco B as atividades econômicas não classificadas como de baixo risco ou baixo risco A ou como de alto risco.</w:t>
      </w:r>
    </w:p>
    <w:p w:rsidR="00971EB9" w:rsidRPr="005053CE" w:rsidRDefault="00971EB9" w:rsidP="00DF1AEB">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2º As atividades de baixo risco ou "baixo risco A" não comportam vistoria para o exercício</w:t>
      </w:r>
      <w:r w:rsidR="00DF1AEB">
        <w:rPr>
          <w:rFonts w:asciiTheme="minorHAnsi" w:hAnsiTheme="minorHAnsi" w:cstheme="majorHAnsi"/>
          <w:sz w:val="22"/>
          <w:szCs w:val="22"/>
        </w:rPr>
        <w:t xml:space="preserve"> </w:t>
      </w:r>
      <w:r w:rsidRPr="005053CE">
        <w:rPr>
          <w:rFonts w:asciiTheme="minorHAnsi" w:hAnsiTheme="minorHAnsi" w:cstheme="majorHAnsi"/>
          <w:sz w:val="22"/>
          <w:szCs w:val="22"/>
        </w:rPr>
        <w:t>contínuo e regular da atividade, estando tão somente sujeitas à fiscalização de devido enquadramento posterior.</w:t>
      </w:r>
    </w:p>
    <w:p w:rsidR="003D5ED9"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 3º As atividades de médio risco ou "baixo risco B" comportam vistoria posterior para o exercício</w:t>
      </w:r>
      <w:r w:rsidR="003D5ED9">
        <w:rPr>
          <w:rFonts w:asciiTheme="minorHAnsi" w:hAnsiTheme="minorHAnsi" w:cstheme="majorHAnsi"/>
          <w:sz w:val="22"/>
          <w:szCs w:val="22"/>
        </w:rPr>
        <w:t xml:space="preserve"> </w:t>
      </w:r>
    </w:p>
    <w:p w:rsidR="003D5ED9" w:rsidRDefault="003D5ED9" w:rsidP="00A47A16">
      <w:pPr>
        <w:ind w:left="708" w:right="-852"/>
        <w:jc w:val="both"/>
        <w:rPr>
          <w:rFonts w:asciiTheme="minorHAnsi" w:hAnsiTheme="minorHAnsi" w:cstheme="majorHAnsi"/>
          <w:sz w:val="22"/>
          <w:szCs w:val="22"/>
        </w:rPr>
      </w:pPr>
    </w:p>
    <w:p w:rsidR="00971EB9" w:rsidRPr="005053CE" w:rsidRDefault="00971EB9" w:rsidP="00A47A16">
      <w:pPr>
        <w:ind w:left="708" w:right="-852"/>
        <w:jc w:val="both"/>
        <w:rPr>
          <w:rFonts w:asciiTheme="minorHAnsi" w:hAnsiTheme="minorHAnsi" w:cstheme="majorHAnsi"/>
          <w:sz w:val="22"/>
          <w:szCs w:val="22"/>
        </w:rPr>
      </w:pPr>
      <w:proofErr w:type="gramStart"/>
      <w:r w:rsidRPr="005053CE">
        <w:rPr>
          <w:rFonts w:asciiTheme="minorHAnsi" w:hAnsiTheme="minorHAnsi" w:cstheme="majorHAnsi"/>
          <w:sz w:val="22"/>
          <w:szCs w:val="22"/>
        </w:rPr>
        <w:t>contínuo</w:t>
      </w:r>
      <w:proofErr w:type="gramEnd"/>
      <w:r w:rsidRPr="005053CE">
        <w:rPr>
          <w:rFonts w:asciiTheme="minorHAnsi" w:hAnsiTheme="minorHAnsi" w:cstheme="majorHAnsi"/>
          <w:sz w:val="22"/>
          <w:szCs w:val="22"/>
        </w:rPr>
        <w:t xml:space="preserve"> e regular da atividade.</w:t>
      </w:r>
    </w:p>
    <w:p w:rsidR="00971EB9" w:rsidRPr="005053CE" w:rsidRDefault="00A47A1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 4º As atividades de alto risco exigirão vistoria prévia para início da operação do estabelecimento.</w:t>
      </w:r>
    </w:p>
    <w:p w:rsidR="00A47A16"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b/>
      </w:r>
      <w:r w:rsidRPr="005053CE">
        <w:rPr>
          <w:rFonts w:asciiTheme="minorHAnsi" w:hAnsiTheme="minorHAnsi" w:cstheme="majorHAnsi"/>
          <w:sz w:val="22"/>
          <w:szCs w:val="22"/>
        </w:rPr>
        <w:tab/>
      </w: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4º Se a atividade econômica for exercida em zona urbana, somente será qualificada como de baixo risco ou "baixo risco A" quando:</w:t>
      </w:r>
    </w:p>
    <w:p w:rsidR="00A47A16" w:rsidRDefault="00A47A16" w:rsidP="005053CE">
      <w:pPr>
        <w:ind w:right="-852"/>
        <w:jc w:val="both"/>
        <w:rPr>
          <w:rFonts w:asciiTheme="minorHAnsi" w:hAnsiTheme="minorHAnsi" w:cstheme="majorHAnsi"/>
          <w:sz w:val="22"/>
          <w:szCs w:val="22"/>
        </w:rPr>
      </w:pP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 - executada em área sobre a qual o seu exercício é plenamente regular, conforme determinações do zoneamento urbano aplicável, incluindo a legislação municipal ou, nos termos do art. 7º da Lei Complementar Federal nº 123, de 2006, quando instaladas em área ou edificação desprovidas de regulação fundiária, imobiliária e edilícia, inclusive habite-se; ou</w:t>
      </w:r>
    </w:p>
    <w:p w:rsidR="00971EB9" w:rsidRPr="005053CE" w:rsidRDefault="00A47A1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II - exploradas em estabelecimento inócuo ou virtual, assim entendido aquele:</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a) exercido na residência do empresário, titular ou sócio, na hipótese em que a atividade não gere grande circulação de pessoas; ou</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b) em que a atividade exercida for tipicamente digital, de modo que não exija estabelecimento físico para a sua operação.</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Parágrafo único. Consideram-se também de baixo risco ou "baixo risco A" todas as demais atividades econômicas que, independentemente de sua natureza, forem assim classificadas pelo Município de Salvador do Sul.</w:t>
      </w:r>
    </w:p>
    <w:p w:rsidR="00971EB9" w:rsidRPr="005053CE" w:rsidRDefault="00971EB9" w:rsidP="005053CE">
      <w:pPr>
        <w:ind w:right="-852"/>
        <w:jc w:val="both"/>
        <w:rPr>
          <w:rFonts w:asciiTheme="minorHAnsi" w:hAnsiTheme="minorHAnsi" w:cstheme="majorHAnsi"/>
          <w:sz w:val="22"/>
          <w:szCs w:val="22"/>
        </w:rPr>
      </w:pPr>
    </w:p>
    <w:p w:rsidR="00971EB9"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5º Para fins de prevenção contra incêndio e pânico, qualificam-se como de baixo risco ou "baixo risco A" aquelas atividades realizadas:</w:t>
      </w:r>
    </w:p>
    <w:p w:rsidR="00A47A16" w:rsidRPr="005053CE" w:rsidRDefault="00A47A16" w:rsidP="005053CE">
      <w:pPr>
        <w:ind w:right="-852"/>
        <w:jc w:val="both"/>
        <w:rPr>
          <w:rFonts w:asciiTheme="minorHAnsi" w:hAnsiTheme="minorHAnsi" w:cstheme="majorHAnsi"/>
          <w:sz w:val="22"/>
          <w:szCs w:val="22"/>
        </w:rPr>
      </w:pP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I - na residência do empreendedor, sem recepção de pessoas; ou</w:t>
      </w:r>
    </w:p>
    <w:p w:rsidR="00971EB9" w:rsidRPr="005053CE" w:rsidRDefault="00971EB9" w:rsidP="0053574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 - em edificações diversas da residência, se a ocupação da atividade tiver ao todo até duzentos metros quadrados e for realizada:</w:t>
      </w: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a) em edificação que não tenha mais de três pavimentos;</w:t>
      </w: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b) em locais de reunião de público com lotação até cem pessoas;</w:t>
      </w: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c) em local sem subsolo com uso distinto de estacionamento;</w:t>
      </w: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d) sem possuir líquido inflamável ou combustível acima de mil litros; e</w:t>
      </w:r>
    </w:p>
    <w:p w:rsidR="00971EB9" w:rsidRPr="005053CE" w:rsidRDefault="0053574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e) sem possuir gás liquefeito de petróleo – GLP, acima de cento e noventa quilogramas.</w:t>
      </w:r>
    </w:p>
    <w:p w:rsidR="00971EB9" w:rsidRPr="005053CE" w:rsidRDefault="00971EB9"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 xml:space="preserve">Art. 6º Para fins de segurança sanitária e ambiental, qualificam-se como de baixo risco ou "baixo risco A" as atividades assim definidas nos termos do </w:t>
      </w:r>
      <w:r w:rsidRPr="005053CE">
        <w:rPr>
          <w:rFonts w:asciiTheme="minorHAnsi" w:hAnsiTheme="minorHAnsi" w:cstheme="majorHAnsi"/>
          <w:i/>
          <w:iCs/>
          <w:sz w:val="22"/>
          <w:szCs w:val="22"/>
        </w:rPr>
        <w:t>caput</w:t>
      </w:r>
      <w:r w:rsidRPr="005053CE">
        <w:rPr>
          <w:rFonts w:asciiTheme="minorHAnsi" w:hAnsiTheme="minorHAnsi" w:cstheme="majorHAnsi"/>
          <w:sz w:val="22"/>
          <w:szCs w:val="22"/>
        </w:rPr>
        <w:t xml:space="preserve"> do art. 3º desta Lei.</w:t>
      </w:r>
    </w:p>
    <w:p w:rsidR="00971EB9" w:rsidRPr="005053CE" w:rsidRDefault="00971EB9"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 xml:space="preserve">Art. 7º O disposto nesta Lei não dispensa: </w:t>
      </w:r>
    </w:p>
    <w:p w:rsidR="00A47A16" w:rsidRDefault="00A47A16" w:rsidP="005053CE">
      <w:pPr>
        <w:ind w:right="-852"/>
        <w:jc w:val="both"/>
        <w:rPr>
          <w:rFonts w:asciiTheme="minorHAnsi" w:hAnsiTheme="minorHAnsi" w:cstheme="majorHAnsi"/>
          <w:sz w:val="22"/>
          <w:szCs w:val="22"/>
        </w:rPr>
      </w:pPr>
    </w:p>
    <w:p w:rsidR="00971EB9" w:rsidRPr="005053CE" w:rsidRDefault="00971EB9" w:rsidP="00A47A16">
      <w:pPr>
        <w:ind w:right="-852" w:firstLine="708"/>
        <w:jc w:val="both"/>
        <w:rPr>
          <w:rFonts w:asciiTheme="minorHAnsi" w:hAnsiTheme="minorHAnsi" w:cstheme="majorHAnsi"/>
          <w:sz w:val="22"/>
          <w:szCs w:val="22"/>
        </w:rPr>
      </w:pPr>
      <w:r w:rsidRPr="005053CE">
        <w:rPr>
          <w:rFonts w:asciiTheme="minorHAnsi" w:hAnsiTheme="minorHAnsi" w:cstheme="majorHAnsi"/>
          <w:sz w:val="22"/>
          <w:szCs w:val="22"/>
        </w:rPr>
        <w:t>I - registro profissional ou empresarial;</w:t>
      </w:r>
    </w:p>
    <w:p w:rsidR="00971EB9" w:rsidRPr="005053CE" w:rsidRDefault="00A47A16" w:rsidP="005053CE">
      <w:pPr>
        <w:ind w:right="-852"/>
        <w:jc w:val="both"/>
        <w:rPr>
          <w:rFonts w:asciiTheme="minorHAnsi" w:hAnsiTheme="minorHAnsi" w:cstheme="majorHAnsi"/>
          <w:sz w:val="22"/>
          <w:szCs w:val="22"/>
        </w:rPr>
      </w:pPr>
      <w:r>
        <w:rPr>
          <w:rFonts w:asciiTheme="minorHAnsi" w:hAnsiTheme="minorHAnsi" w:cstheme="majorHAnsi"/>
          <w:sz w:val="22"/>
          <w:szCs w:val="22"/>
        </w:rPr>
        <w:tab/>
      </w:r>
      <w:r w:rsidR="00971EB9" w:rsidRPr="005053CE">
        <w:rPr>
          <w:rFonts w:asciiTheme="minorHAnsi" w:hAnsiTheme="minorHAnsi" w:cstheme="majorHAnsi"/>
          <w:sz w:val="22"/>
          <w:szCs w:val="22"/>
        </w:rPr>
        <w:t>II -  cadastramento tributário;</w:t>
      </w:r>
    </w:p>
    <w:p w:rsidR="00971EB9" w:rsidRPr="005053CE" w:rsidRDefault="00971EB9" w:rsidP="00A47A16">
      <w:pPr>
        <w:ind w:right="-852" w:firstLine="708"/>
        <w:jc w:val="both"/>
        <w:rPr>
          <w:rFonts w:asciiTheme="minorHAnsi" w:hAnsiTheme="minorHAnsi" w:cstheme="majorHAnsi"/>
          <w:sz w:val="22"/>
          <w:szCs w:val="22"/>
        </w:rPr>
      </w:pPr>
      <w:r w:rsidRPr="005053CE">
        <w:rPr>
          <w:rFonts w:asciiTheme="minorHAnsi" w:hAnsiTheme="minorHAnsi" w:cstheme="majorHAnsi"/>
          <w:sz w:val="22"/>
          <w:szCs w:val="22"/>
        </w:rPr>
        <w:t>III - cadastramento previdenciário;</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IV - fiscalização de exercício regular de atividade para fins sanitários, ambientais e de prevenção de incêndio e pânico.</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Parágrafo único. A taxa de fiscalização, nos termos do inciso IV deste artigo, será regularmente cobrada pela Município de Salvador do Sul.</w:t>
      </w:r>
    </w:p>
    <w:p w:rsidR="00A47A16" w:rsidRDefault="00A47A16" w:rsidP="005053CE">
      <w:pPr>
        <w:ind w:right="-852"/>
        <w:jc w:val="both"/>
        <w:rPr>
          <w:rFonts w:asciiTheme="minorHAnsi" w:hAnsiTheme="minorHAnsi" w:cstheme="majorHAnsi"/>
          <w:sz w:val="22"/>
          <w:szCs w:val="22"/>
        </w:rPr>
      </w:pPr>
    </w:p>
    <w:p w:rsidR="00971EB9" w:rsidRPr="005053CE" w:rsidRDefault="00971EB9" w:rsidP="00247436">
      <w:pPr>
        <w:ind w:right="-852"/>
        <w:jc w:val="both"/>
        <w:rPr>
          <w:rFonts w:asciiTheme="minorHAnsi" w:hAnsiTheme="minorHAnsi" w:cstheme="majorHAnsi"/>
          <w:sz w:val="22"/>
          <w:szCs w:val="22"/>
        </w:rPr>
      </w:pPr>
      <w:r w:rsidRPr="005053CE">
        <w:rPr>
          <w:rFonts w:asciiTheme="minorHAnsi" w:hAnsiTheme="minorHAnsi" w:cstheme="majorHAnsi"/>
          <w:sz w:val="22"/>
          <w:szCs w:val="22"/>
        </w:rPr>
        <w:t>Art. 8º A empresa que informar, inclusive eletronicamente, ao Corpo de Bombeiros, que a edificação onde está localizado o estabelecimento cumpre os requisitos de prevenção contra incêndios e pânico, para uso ou ocupação que não implique em alteração do conjunto de medidas preventivas, poderá receber o</w:t>
      </w:r>
      <w:r w:rsidR="00247436">
        <w:rPr>
          <w:rFonts w:asciiTheme="minorHAnsi" w:hAnsiTheme="minorHAnsi" w:cstheme="majorHAnsi"/>
          <w:sz w:val="22"/>
          <w:szCs w:val="22"/>
        </w:rPr>
        <w:t xml:space="preserve"> </w:t>
      </w:r>
      <w:r w:rsidRPr="005053CE">
        <w:rPr>
          <w:rFonts w:asciiTheme="minorHAnsi" w:hAnsiTheme="minorHAnsi" w:cstheme="majorHAnsi"/>
          <w:sz w:val="22"/>
          <w:szCs w:val="22"/>
        </w:rPr>
        <w:t>mesmo tratamento dispensado às atividades econômicas de médio risco ou "baixo risco B".</w:t>
      </w:r>
    </w:p>
    <w:p w:rsidR="00971EB9" w:rsidRPr="005053CE" w:rsidRDefault="00971EB9" w:rsidP="005053CE">
      <w:pPr>
        <w:ind w:right="-852"/>
        <w:jc w:val="both"/>
        <w:rPr>
          <w:rFonts w:asciiTheme="minorHAnsi" w:hAnsiTheme="minorHAnsi" w:cstheme="majorHAnsi"/>
          <w:sz w:val="22"/>
          <w:szCs w:val="22"/>
        </w:rPr>
      </w:pPr>
    </w:p>
    <w:p w:rsidR="00247436" w:rsidRDefault="00247436" w:rsidP="005053CE">
      <w:pPr>
        <w:ind w:right="-852"/>
        <w:jc w:val="both"/>
        <w:rPr>
          <w:rFonts w:asciiTheme="minorHAnsi" w:hAnsiTheme="minorHAnsi" w:cstheme="majorHAnsi"/>
          <w:sz w:val="22"/>
          <w:szCs w:val="22"/>
        </w:rPr>
      </w:pPr>
    </w:p>
    <w:p w:rsidR="00247436" w:rsidRDefault="00247436" w:rsidP="005053CE">
      <w:pPr>
        <w:ind w:right="-852"/>
        <w:jc w:val="both"/>
        <w:rPr>
          <w:rFonts w:asciiTheme="minorHAnsi" w:hAnsiTheme="minorHAnsi" w:cstheme="majorHAnsi"/>
          <w:sz w:val="22"/>
          <w:szCs w:val="22"/>
        </w:rPr>
      </w:pPr>
    </w:p>
    <w:p w:rsidR="00247436" w:rsidRDefault="00247436" w:rsidP="005053CE">
      <w:pPr>
        <w:ind w:right="-852"/>
        <w:jc w:val="both"/>
        <w:rPr>
          <w:rFonts w:asciiTheme="minorHAnsi" w:hAnsiTheme="minorHAnsi" w:cstheme="majorHAnsi"/>
          <w:sz w:val="22"/>
          <w:szCs w:val="22"/>
        </w:rPr>
      </w:pPr>
    </w:p>
    <w:p w:rsidR="00971EB9"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9º. Quanto ao Microempreendedor Individual - MEI:</w:t>
      </w:r>
    </w:p>
    <w:p w:rsidR="00A47A16" w:rsidRPr="005053CE" w:rsidRDefault="00A47A16" w:rsidP="005053CE">
      <w:pPr>
        <w:ind w:right="-852"/>
        <w:jc w:val="both"/>
        <w:rPr>
          <w:rFonts w:asciiTheme="minorHAnsi" w:hAnsiTheme="minorHAnsi" w:cstheme="majorHAnsi"/>
          <w:sz w:val="22"/>
          <w:szCs w:val="22"/>
        </w:rPr>
      </w:pP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 - se ele manifestar sua concordância com o conteúdo do Termo de Ciência e Responsabilidade com Efeito de Alvará de Licença de Funcionamento Provisório, com prazo de vigência de cento e oitenta dias, a partir do ato de inscrição ou alteração, emitido eletronicamente, que permitirá o exercício de suas atividades, exceto nos casos de atividades consideradas de alto risco, observada a dispensa de alvarás para as situações de baixo risco ou "baixo risco A";</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 - as vistorias necessárias à emissão de licenças e de autorizações de funcionamento deverão ser realizadas após o início de operação da atividade do MEI, quando a sua atividade for considerada de médio risco ou "baixo risco B";</w:t>
      </w:r>
    </w:p>
    <w:p w:rsidR="00971EB9" w:rsidRPr="005053CE" w:rsidRDefault="00971EB9" w:rsidP="00A47A16">
      <w:pPr>
        <w:ind w:left="708" w:right="-852"/>
        <w:jc w:val="both"/>
        <w:rPr>
          <w:rFonts w:asciiTheme="minorHAnsi" w:hAnsiTheme="minorHAnsi" w:cstheme="majorHAnsi"/>
          <w:sz w:val="22"/>
          <w:szCs w:val="22"/>
        </w:rPr>
      </w:pPr>
      <w:r w:rsidRPr="005053CE">
        <w:rPr>
          <w:rFonts w:asciiTheme="minorHAnsi" w:hAnsiTheme="minorHAnsi" w:cstheme="majorHAnsi"/>
          <w:sz w:val="22"/>
          <w:szCs w:val="22"/>
        </w:rPr>
        <w:t>III - no caso de atividades consideradas de médio risco ou "baixo risco B", poderá o município dispensar o MEI do alvará quando o endereço registrado for residencial e na hipótese de a atividade ser exercida fora de estabelecimento.</w:t>
      </w:r>
    </w:p>
    <w:p w:rsidR="00971EB9" w:rsidRPr="005053CE" w:rsidRDefault="00971EB9" w:rsidP="005053CE">
      <w:pPr>
        <w:ind w:right="-852"/>
        <w:jc w:val="both"/>
        <w:rPr>
          <w:rFonts w:asciiTheme="minorHAnsi" w:hAnsiTheme="minorHAnsi" w:cstheme="majorHAnsi"/>
          <w:sz w:val="22"/>
          <w:szCs w:val="22"/>
        </w:rPr>
      </w:pP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 xml:space="preserve">Art. 10. A Prefeitura deverá garantir que, em solicitação de atos públicos de liberação da atividade econômica,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para todos os efeitos, ressalvadas as hipóteses de licenciamento ambiental e demais casos expressamente vedados em lei. </w:t>
      </w: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Parágrafo único. O prazo de que trata este artigo será fixado em cada caso, considerando o grau de complexidade de cada licenciamento.</w:t>
      </w:r>
    </w:p>
    <w:p w:rsidR="00971EB9" w:rsidRPr="005053CE" w:rsidRDefault="00971EB9" w:rsidP="005053CE">
      <w:pPr>
        <w:ind w:right="-852"/>
        <w:jc w:val="both"/>
        <w:rPr>
          <w:rFonts w:asciiTheme="minorHAnsi" w:hAnsiTheme="minorHAnsi" w:cstheme="majorHAnsi"/>
          <w:sz w:val="22"/>
          <w:szCs w:val="22"/>
        </w:rPr>
      </w:pPr>
    </w:p>
    <w:p w:rsidR="00971EB9" w:rsidRPr="005053CE" w:rsidRDefault="00A47A16" w:rsidP="005053CE">
      <w:pPr>
        <w:ind w:right="-852"/>
        <w:jc w:val="both"/>
        <w:rPr>
          <w:rFonts w:asciiTheme="minorHAnsi" w:hAnsiTheme="minorHAnsi" w:cstheme="majorHAnsi"/>
          <w:sz w:val="22"/>
          <w:szCs w:val="22"/>
        </w:rPr>
      </w:pPr>
      <w:r>
        <w:rPr>
          <w:rFonts w:asciiTheme="minorHAnsi" w:hAnsiTheme="minorHAnsi" w:cstheme="majorHAnsi"/>
          <w:sz w:val="22"/>
          <w:szCs w:val="22"/>
        </w:rPr>
        <w:t xml:space="preserve"> </w:t>
      </w:r>
      <w:r w:rsidR="00971EB9" w:rsidRPr="005053CE">
        <w:rPr>
          <w:rFonts w:asciiTheme="minorHAnsi" w:hAnsiTheme="minorHAnsi" w:cstheme="majorHAnsi"/>
          <w:sz w:val="22"/>
          <w:szCs w:val="22"/>
        </w:rPr>
        <w:t xml:space="preserve">Art. 11. Os direitos que trata a Lei Federal nº 13.874, de 2019, serão compatibilizados com as normas que tratam de segurança pública, meio ambiente, </w:t>
      </w:r>
      <w:proofErr w:type="spellStart"/>
      <w:r w:rsidR="00971EB9" w:rsidRPr="005053CE">
        <w:rPr>
          <w:rFonts w:asciiTheme="minorHAnsi" w:hAnsiTheme="minorHAnsi" w:cstheme="majorHAnsi"/>
          <w:sz w:val="22"/>
          <w:szCs w:val="22"/>
        </w:rPr>
        <w:t>sanitarismo</w:t>
      </w:r>
      <w:proofErr w:type="spellEnd"/>
      <w:r w:rsidR="00971EB9" w:rsidRPr="005053CE">
        <w:rPr>
          <w:rFonts w:asciiTheme="minorHAnsi" w:hAnsiTheme="minorHAnsi" w:cstheme="majorHAnsi"/>
          <w:sz w:val="22"/>
          <w:szCs w:val="22"/>
        </w:rPr>
        <w:t xml:space="preserve"> ou saúde pública, posturas, acessibilidade, prevenção de incêndio e pânico e tributos, mediante procedimentos simplificados para obtenção destes atos públicos de liberação.</w:t>
      </w: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b/>
      </w:r>
      <w:r w:rsidRPr="005053CE">
        <w:rPr>
          <w:rFonts w:asciiTheme="minorHAnsi" w:hAnsiTheme="minorHAnsi" w:cstheme="majorHAnsi"/>
          <w:sz w:val="22"/>
          <w:szCs w:val="22"/>
        </w:rPr>
        <w:tab/>
      </w:r>
    </w:p>
    <w:p w:rsidR="00971EB9" w:rsidRPr="005053CE" w:rsidRDefault="00971EB9" w:rsidP="005053CE">
      <w:pPr>
        <w:ind w:right="-852"/>
        <w:jc w:val="both"/>
        <w:rPr>
          <w:rFonts w:asciiTheme="minorHAnsi" w:hAnsiTheme="minorHAnsi" w:cstheme="majorHAnsi"/>
          <w:sz w:val="22"/>
          <w:szCs w:val="22"/>
        </w:rPr>
      </w:pPr>
      <w:r w:rsidRPr="005053CE">
        <w:rPr>
          <w:rFonts w:asciiTheme="minorHAnsi" w:hAnsiTheme="minorHAnsi" w:cstheme="majorHAnsi"/>
          <w:sz w:val="22"/>
          <w:szCs w:val="22"/>
        </w:rPr>
        <w:t>Art. 12. Esta Lei entra em vigor na data da sua publicação.</w:t>
      </w:r>
    </w:p>
    <w:p w:rsidR="002C25CA" w:rsidRDefault="002C25CA" w:rsidP="005053CE">
      <w:pPr>
        <w:ind w:right="-852"/>
        <w:jc w:val="both"/>
        <w:rPr>
          <w:rFonts w:asciiTheme="minorHAnsi" w:hAnsiTheme="minorHAnsi"/>
          <w:sz w:val="22"/>
          <w:szCs w:val="22"/>
        </w:rPr>
      </w:pPr>
    </w:p>
    <w:p w:rsidR="007430B5" w:rsidRDefault="007430B5" w:rsidP="005053CE">
      <w:pPr>
        <w:ind w:right="-852"/>
        <w:jc w:val="both"/>
        <w:rPr>
          <w:rFonts w:asciiTheme="minorHAnsi" w:hAnsiTheme="minorHAnsi"/>
          <w:sz w:val="22"/>
          <w:szCs w:val="22"/>
        </w:rPr>
      </w:pPr>
    </w:p>
    <w:p w:rsidR="007430B5" w:rsidRPr="00D4436B" w:rsidRDefault="007430B5" w:rsidP="007430B5">
      <w:pPr>
        <w:pStyle w:val="Corpodetexto"/>
        <w:spacing w:line="276" w:lineRule="auto"/>
        <w:ind w:left="708" w:right="-852"/>
        <w:jc w:val="right"/>
        <w:rPr>
          <w:rFonts w:ascii="Calibri" w:hAnsi="Calibri" w:cs="Arial"/>
          <w:sz w:val="22"/>
          <w:szCs w:val="22"/>
        </w:rPr>
      </w:pPr>
      <w:r w:rsidRPr="00D4436B">
        <w:rPr>
          <w:rFonts w:ascii="Calibri" w:hAnsi="Calibri" w:cs="Arial"/>
          <w:sz w:val="22"/>
          <w:szCs w:val="22"/>
        </w:rPr>
        <w:t xml:space="preserve">GABINETE DO PREFEITO </w:t>
      </w:r>
      <w:r>
        <w:rPr>
          <w:rFonts w:ascii="Calibri" w:hAnsi="Calibri" w:cs="Arial"/>
          <w:sz w:val="22"/>
          <w:szCs w:val="22"/>
        </w:rPr>
        <w:t xml:space="preserve">MUNICIPAL DE SALVADOR DO SUL, </w:t>
      </w:r>
      <w:r w:rsidR="00FF6714">
        <w:rPr>
          <w:rFonts w:ascii="Calibri" w:hAnsi="Calibri" w:cs="Arial"/>
          <w:sz w:val="22"/>
          <w:szCs w:val="22"/>
        </w:rPr>
        <w:t>13</w:t>
      </w:r>
      <w:r w:rsidR="00247436">
        <w:rPr>
          <w:rFonts w:ascii="Calibri" w:hAnsi="Calibri" w:cs="Arial"/>
          <w:sz w:val="22"/>
          <w:szCs w:val="22"/>
        </w:rPr>
        <w:t xml:space="preserve"> DE</w:t>
      </w:r>
      <w:r>
        <w:rPr>
          <w:rFonts w:ascii="Calibri" w:hAnsi="Calibri" w:cs="Arial"/>
          <w:sz w:val="22"/>
          <w:szCs w:val="22"/>
        </w:rPr>
        <w:t xml:space="preserve"> NOVEMBRO</w:t>
      </w:r>
      <w:r w:rsidRPr="00D4436B">
        <w:rPr>
          <w:rFonts w:ascii="Calibri" w:hAnsi="Calibri" w:cs="Arial"/>
          <w:sz w:val="22"/>
          <w:szCs w:val="22"/>
        </w:rPr>
        <w:t xml:space="preserve"> DE 2019. </w:t>
      </w:r>
    </w:p>
    <w:p w:rsidR="007430B5" w:rsidRDefault="007430B5" w:rsidP="007430B5">
      <w:pPr>
        <w:ind w:right="-569"/>
        <w:rPr>
          <w:rFonts w:cs="Arial"/>
        </w:rPr>
      </w:pPr>
    </w:p>
    <w:p w:rsidR="007430B5" w:rsidRDefault="007430B5" w:rsidP="007430B5">
      <w:pPr>
        <w:ind w:right="-569"/>
        <w:rPr>
          <w:rFonts w:cs="Arial"/>
        </w:rPr>
      </w:pPr>
    </w:p>
    <w:p w:rsidR="007430B5" w:rsidRDefault="007430B5" w:rsidP="007430B5">
      <w:pPr>
        <w:ind w:right="-569"/>
        <w:rPr>
          <w:rFonts w:cs="Arial"/>
        </w:rPr>
      </w:pPr>
    </w:p>
    <w:p w:rsidR="007430B5" w:rsidRPr="00D4436B" w:rsidRDefault="007430B5" w:rsidP="007430B5">
      <w:pPr>
        <w:ind w:right="-569"/>
        <w:rPr>
          <w:rFonts w:cs="Arial"/>
        </w:rPr>
      </w:pPr>
    </w:p>
    <w:p w:rsidR="007430B5" w:rsidRDefault="007430B5" w:rsidP="007430B5">
      <w:pPr>
        <w:jc w:val="center"/>
        <w:rPr>
          <w:rFonts w:cs="Arial"/>
        </w:rPr>
      </w:pPr>
    </w:p>
    <w:p w:rsidR="007430B5" w:rsidRPr="00320C11" w:rsidRDefault="007430B5" w:rsidP="007430B5">
      <w:pPr>
        <w:jc w:val="center"/>
        <w:rPr>
          <w:rFonts w:ascii="Calibri" w:hAnsi="Calibri" w:cs="Arial"/>
          <w:sz w:val="22"/>
          <w:szCs w:val="22"/>
        </w:rPr>
      </w:pPr>
      <w:r w:rsidRPr="00320C11">
        <w:rPr>
          <w:rFonts w:ascii="Calibri" w:hAnsi="Calibri" w:cs="Arial"/>
          <w:sz w:val="22"/>
          <w:szCs w:val="22"/>
        </w:rPr>
        <w:t>MARCO AURÉLIO ECKERT</w:t>
      </w:r>
    </w:p>
    <w:p w:rsidR="007430B5" w:rsidRPr="00320C11" w:rsidRDefault="007430B5" w:rsidP="007430B5">
      <w:pPr>
        <w:jc w:val="center"/>
        <w:rPr>
          <w:rFonts w:ascii="Calibri" w:hAnsi="Calibri" w:cs="Arial"/>
          <w:sz w:val="22"/>
          <w:szCs w:val="22"/>
        </w:rPr>
      </w:pPr>
      <w:r w:rsidRPr="00320C11">
        <w:rPr>
          <w:rFonts w:ascii="Calibri" w:hAnsi="Calibri" w:cs="Arial"/>
          <w:sz w:val="22"/>
          <w:szCs w:val="22"/>
        </w:rPr>
        <w:t>Prefeito Municipal</w:t>
      </w:r>
    </w:p>
    <w:p w:rsidR="007430B5" w:rsidRDefault="007430B5"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C33060" w:rsidRDefault="00C33060" w:rsidP="005053CE">
      <w:pPr>
        <w:ind w:right="-852"/>
        <w:jc w:val="both"/>
        <w:rPr>
          <w:rFonts w:asciiTheme="minorHAnsi" w:hAnsiTheme="minorHAnsi"/>
          <w:sz w:val="22"/>
          <w:szCs w:val="22"/>
        </w:rPr>
      </w:pPr>
    </w:p>
    <w:p w:rsidR="00F75DED" w:rsidRDefault="00F75DED" w:rsidP="00C33060">
      <w:pPr>
        <w:ind w:right="-852"/>
        <w:jc w:val="both"/>
        <w:rPr>
          <w:rFonts w:ascii="Times New Roman" w:hAnsi="Times New Roman"/>
          <w:sz w:val="24"/>
          <w:szCs w:val="24"/>
        </w:rPr>
      </w:pPr>
    </w:p>
    <w:p w:rsidR="00F75DED" w:rsidRDefault="00F75DED" w:rsidP="00C33060">
      <w:pPr>
        <w:ind w:right="-852"/>
        <w:jc w:val="both"/>
        <w:rPr>
          <w:rFonts w:ascii="Times New Roman" w:hAnsi="Times New Roman"/>
          <w:sz w:val="24"/>
          <w:szCs w:val="24"/>
        </w:rPr>
      </w:pPr>
    </w:p>
    <w:p w:rsidR="00C33060" w:rsidRPr="00C33060" w:rsidRDefault="00DB5C01" w:rsidP="00C33060">
      <w:pPr>
        <w:ind w:right="-852"/>
        <w:jc w:val="both"/>
        <w:rPr>
          <w:rFonts w:ascii="Times New Roman" w:hAnsi="Times New Roman"/>
          <w:sz w:val="24"/>
          <w:szCs w:val="24"/>
        </w:rPr>
      </w:pPr>
      <w:r>
        <w:rPr>
          <w:rFonts w:ascii="Times New Roman" w:hAnsi="Times New Roman"/>
          <w:sz w:val="24"/>
          <w:szCs w:val="24"/>
        </w:rPr>
        <w:t>Ofício nº PMSS 311</w:t>
      </w:r>
      <w:r w:rsidR="00C33060" w:rsidRPr="00C33060">
        <w:rPr>
          <w:rFonts w:ascii="Times New Roman" w:hAnsi="Times New Roman"/>
          <w:sz w:val="24"/>
          <w:szCs w:val="24"/>
        </w:rPr>
        <w:t xml:space="preserve">/2019                                                 Salvador do Sul, </w:t>
      </w:r>
      <w:r w:rsidR="00B03AA4">
        <w:rPr>
          <w:rFonts w:ascii="Times New Roman" w:hAnsi="Times New Roman"/>
          <w:sz w:val="24"/>
          <w:szCs w:val="24"/>
        </w:rPr>
        <w:t>13 de novembro</w:t>
      </w:r>
      <w:r w:rsidR="00C33060" w:rsidRPr="00C33060">
        <w:rPr>
          <w:rFonts w:ascii="Times New Roman" w:hAnsi="Times New Roman"/>
          <w:sz w:val="24"/>
          <w:szCs w:val="24"/>
        </w:rPr>
        <w:t xml:space="preserve"> de 2019.</w:t>
      </w:r>
    </w:p>
    <w:p w:rsidR="00C33060" w:rsidRPr="00C33060" w:rsidRDefault="00C33060" w:rsidP="00C33060">
      <w:pPr>
        <w:ind w:right="-852"/>
        <w:jc w:val="both"/>
        <w:rPr>
          <w:rFonts w:ascii="Times New Roman" w:hAnsi="Times New Roman"/>
          <w:sz w:val="24"/>
          <w:szCs w:val="24"/>
        </w:rPr>
      </w:pPr>
    </w:p>
    <w:p w:rsidR="00C33060" w:rsidRPr="00C33060" w:rsidRDefault="00C33060" w:rsidP="00C33060">
      <w:pPr>
        <w:ind w:right="-852"/>
        <w:jc w:val="both"/>
        <w:rPr>
          <w:rFonts w:ascii="Times New Roman" w:hAnsi="Times New Roman"/>
          <w:sz w:val="24"/>
          <w:szCs w:val="24"/>
        </w:rPr>
      </w:pPr>
    </w:p>
    <w:p w:rsidR="00C33060" w:rsidRPr="00C33060" w:rsidRDefault="00C33060" w:rsidP="00C33060">
      <w:pPr>
        <w:ind w:right="-852"/>
        <w:jc w:val="both"/>
        <w:rPr>
          <w:rFonts w:ascii="Times New Roman" w:hAnsi="Times New Roman"/>
          <w:sz w:val="24"/>
          <w:szCs w:val="24"/>
        </w:rPr>
      </w:pPr>
    </w:p>
    <w:p w:rsidR="00C33060" w:rsidRPr="00C33060" w:rsidRDefault="00C33060" w:rsidP="00C33060">
      <w:pPr>
        <w:ind w:right="-852"/>
        <w:jc w:val="both"/>
        <w:rPr>
          <w:rFonts w:ascii="Times New Roman" w:hAnsi="Times New Roman"/>
          <w:sz w:val="24"/>
          <w:szCs w:val="24"/>
        </w:rPr>
      </w:pPr>
      <w:r w:rsidRPr="00C33060">
        <w:rPr>
          <w:rFonts w:ascii="Times New Roman" w:hAnsi="Times New Roman"/>
          <w:sz w:val="24"/>
          <w:szCs w:val="24"/>
        </w:rPr>
        <w:t xml:space="preserve">Excelentíssimo Senhor </w:t>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t xml:space="preserve">            Vereador ROMEU RECKTENWALT </w:t>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t xml:space="preserve">        D.D. Presidente da Câmara Municipal de Vereadores</w:t>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r>
      <w:r w:rsidRPr="00C33060">
        <w:rPr>
          <w:rFonts w:ascii="Times New Roman" w:hAnsi="Times New Roman"/>
          <w:sz w:val="24"/>
          <w:szCs w:val="24"/>
        </w:rPr>
        <w:tab/>
        <w:t xml:space="preserve">             SALVADOR DO SUL/RS</w:t>
      </w:r>
    </w:p>
    <w:p w:rsidR="00C33060" w:rsidRPr="00C33060" w:rsidRDefault="00C33060" w:rsidP="00C33060">
      <w:pPr>
        <w:ind w:right="-852"/>
        <w:jc w:val="both"/>
        <w:rPr>
          <w:rFonts w:ascii="Times New Roman" w:hAnsi="Times New Roman"/>
          <w:sz w:val="24"/>
          <w:szCs w:val="24"/>
        </w:rPr>
      </w:pPr>
    </w:p>
    <w:p w:rsidR="00C33060" w:rsidRPr="00C33060" w:rsidRDefault="00C33060" w:rsidP="00C33060">
      <w:pPr>
        <w:ind w:right="-852"/>
        <w:jc w:val="both"/>
        <w:rPr>
          <w:rFonts w:ascii="Times New Roman" w:hAnsi="Times New Roman"/>
          <w:sz w:val="24"/>
          <w:szCs w:val="24"/>
        </w:rPr>
      </w:pPr>
    </w:p>
    <w:p w:rsidR="00C33060" w:rsidRPr="00C33060" w:rsidRDefault="00C33060" w:rsidP="00C33060">
      <w:pPr>
        <w:ind w:right="-852"/>
        <w:jc w:val="both"/>
        <w:rPr>
          <w:rFonts w:ascii="Times New Roman" w:hAnsi="Times New Roman"/>
          <w:b/>
          <w:sz w:val="24"/>
          <w:szCs w:val="24"/>
        </w:rPr>
      </w:pPr>
      <w:r w:rsidRPr="00C33060">
        <w:rPr>
          <w:rFonts w:ascii="Times New Roman" w:hAnsi="Times New Roman"/>
          <w:b/>
          <w:sz w:val="24"/>
          <w:szCs w:val="24"/>
        </w:rPr>
        <w:t>Assunto: Apre</w:t>
      </w:r>
      <w:r w:rsidR="00995F57">
        <w:rPr>
          <w:rFonts w:ascii="Times New Roman" w:hAnsi="Times New Roman"/>
          <w:b/>
          <w:sz w:val="24"/>
          <w:szCs w:val="24"/>
        </w:rPr>
        <w:t>sentação do Projeto de Lei Nº 069</w:t>
      </w:r>
      <w:r w:rsidRPr="00C33060">
        <w:rPr>
          <w:rFonts w:ascii="Times New Roman" w:hAnsi="Times New Roman"/>
          <w:b/>
          <w:sz w:val="24"/>
          <w:szCs w:val="24"/>
        </w:rPr>
        <w:t>/2019.</w:t>
      </w:r>
    </w:p>
    <w:p w:rsidR="00C33060" w:rsidRPr="00C33060" w:rsidRDefault="00C33060" w:rsidP="00C33060">
      <w:pPr>
        <w:ind w:right="-852"/>
        <w:jc w:val="both"/>
        <w:rPr>
          <w:rFonts w:ascii="Times New Roman" w:hAnsi="Times New Roman"/>
          <w:b/>
          <w:sz w:val="24"/>
          <w:szCs w:val="24"/>
        </w:rPr>
      </w:pPr>
    </w:p>
    <w:p w:rsidR="00C33060" w:rsidRPr="00C33060" w:rsidRDefault="00C33060" w:rsidP="00C33060">
      <w:pPr>
        <w:ind w:right="-852"/>
        <w:jc w:val="both"/>
        <w:rPr>
          <w:rFonts w:ascii="Times New Roman" w:hAnsi="Times New Roman"/>
          <w:sz w:val="24"/>
          <w:szCs w:val="24"/>
        </w:rPr>
      </w:pPr>
    </w:p>
    <w:p w:rsidR="00C33060" w:rsidRPr="00C33060" w:rsidRDefault="00C33060" w:rsidP="001D2366">
      <w:pPr>
        <w:spacing w:line="360" w:lineRule="auto"/>
        <w:ind w:right="-852" w:firstLine="708"/>
        <w:jc w:val="both"/>
        <w:rPr>
          <w:rFonts w:ascii="Times New Roman" w:hAnsi="Times New Roman"/>
          <w:sz w:val="24"/>
          <w:szCs w:val="24"/>
        </w:rPr>
      </w:pPr>
      <w:r w:rsidRPr="00C33060">
        <w:rPr>
          <w:rFonts w:ascii="Times New Roman" w:hAnsi="Times New Roman"/>
          <w:sz w:val="24"/>
          <w:szCs w:val="24"/>
        </w:rPr>
        <w:t>Senhor Presidente,</w:t>
      </w:r>
    </w:p>
    <w:p w:rsidR="001D2366" w:rsidRDefault="00C33060" w:rsidP="001D2366">
      <w:pPr>
        <w:ind w:right="-852" w:firstLine="708"/>
        <w:jc w:val="both"/>
        <w:rPr>
          <w:rFonts w:ascii="Times New Roman" w:hAnsi="Times New Roman"/>
          <w:sz w:val="24"/>
          <w:szCs w:val="24"/>
        </w:rPr>
      </w:pPr>
      <w:r w:rsidRPr="001D2366">
        <w:rPr>
          <w:rFonts w:ascii="Times New Roman" w:hAnsi="Times New Roman"/>
          <w:sz w:val="24"/>
          <w:szCs w:val="24"/>
        </w:rPr>
        <w:t>Dirigimo-nos a essa Colenda Câmara de Vereadores para a</w:t>
      </w:r>
      <w:r w:rsidR="00995F57">
        <w:rPr>
          <w:rFonts w:ascii="Times New Roman" w:hAnsi="Times New Roman"/>
          <w:sz w:val="24"/>
          <w:szCs w:val="24"/>
        </w:rPr>
        <w:t>presentar o Projeto de Lei Nº 069</w:t>
      </w:r>
      <w:r w:rsidRPr="001D2366">
        <w:rPr>
          <w:rFonts w:ascii="Times New Roman" w:hAnsi="Times New Roman"/>
          <w:sz w:val="24"/>
          <w:szCs w:val="24"/>
        </w:rPr>
        <w:t xml:space="preserve">/2019, </w:t>
      </w:r>
      <w:r w:rsidR="00995F57">
        <w:rPr>
          <w:rFonts w:ascii="Times New Roman" w:hAnsi="Times New Roman"/>
          <w:sz w:val="24"/>
          <w:szCs w:val="24"/>
        </w:rPr>
        <w:t xml:space="preserve">que </w:t>
      </w:r>
      <w:r w:rsidR="001D2366" w:rsidRPr="001D2366">
        <w:rPr>
          <w:rFonts w:ascii="Times New Roman" w:hAnsi="Times New Roman"/>
          <w:sz w:val="24"/>
          <w:szCs w:val="24"/>
        </w:rPr>
        <w:t>Dispõe sobre a recepção local e à aplicabilidade da Declaração de Direitos de Liberdade Econômica, prevista na Lei Federal nº 13.874, de 20 de setembro de 2019, no âmbito do Município de Salvador do Sul.</w:t>
      </w:r>
    </w:p>
    <w:p w:rsidR="00F75DED" w:rsidRDefault="00F75DED" w:rsidP="001D2366">
      <w:pPr>
        <w:ind w:right="-852" w:firstLine="708"/>
        <w:jc w:val="both"/>
        <w:rPr>
          <w:rFonts w:ascii="Times New Roman" w:hAnsi="Times New Roman"/>
          <w:sz w:val="24"/>
          <w:szCs w:val="24"/>
        </w:rPr>
      </w:pPr>
    </w:p>
    <w:p w:rsidR="008C0310" w:rsidRDefault="008C0310" w:rsidP="008C0310">
      <w:pPr>
        <w:ind w:right="-852" w:firstLine="708"/>
        <w:jc w:val="both"/>
        <w:rPr>
          <w:rFonts w:ascii="Times New Roman" w:hAnsi="Times New Roman"/>
          <w:sz w:val="24"/>
          <w:szCs w:val="24"/>
        </w:rPr>
      </w:pPr>
      <w:r>
        <w:rPr>
          <w:rFonts w:ascii="Times New Roman" w:hAnsi="Times New Roman"/>
          <w:sz w:val="24"/>
          <w:szCs w:val="24"/>
        </w:rPr>
        <w:t>A Lei Federal</w:t>
      </w:r>
      <w:r w:rsidRPr="008C0310">
        <w:rPr>
          <w:rFonts w:ascii="Times New Roman" w:hAnsi="Times New Roman"/>
          <w:sz w:val="24"/>
          <w:szCs w:val="24"/>
        </w:rPr>
        <w:t xml:space="preserve"> 13.874/2019, conhecida como “L</w:t>
      </w:r>
      <w:r>
        <w:rPr>
          <w:rFonts w:ascii="Times New Roman" w:hAnsi="Times New Roman"/>
          <w:sz w:val="24"/>
          <w:szCs w:val="24"/>
        </w:rPr>
        <w:t>ei da Liberdade Econômica”, traduz as</w:t>
      </w:r>
      <w:r w:rsidRPr="008C0310">
        <w:rPr>
          <w:rFonts w:ascii="Times New Roman" w:hAnsi="Times New Roman"/>
          <w:sz w:val="24"/>
          <w:szCs w:val="24"/>
        </w:rPr>
        <w:t xml:space="preserve"> normas que visam flexibilizar e desburocratizar</w:t>
      </w:r>
      <w:r>
        <w:rPr>
          <w:rFonts w:ascii="Times New Roman" w:hAnsi="Times New Roman"/>
          <w:sz w:val="24"/>
          <w:szCs w:val="24"/>
        </w:rPr>
        <w:t xml:space="preserve"> os processos administrativos de</w:t>
      </w:r>
      <w:r w:rsidRPr="008C0310">
        <w:rPr>
          <w:rFonts w:ascii="Times New Roman" w:hAnsi="Times New Roman"/>
          <w:sz w:val="24"/>
          <w:szCs w:val="24"/>
        </w:rPr>
        <w:t xml:space="preserve"> abertura</w:t>
      </w:r>
      <w:r>
        <w:rPr>
          <w:rFonts w:ascii="Times New Roman" w:hAnsi="Times New Roman"/>
          <w:sz w:val="24"/>
          <w:szCs w:val="24"/>
        </w:rPr>
        <w:t xml:space="preserve"> de</w:t>
      </w:r>
      <w:r w:rsidRPr="008C0310">
        <w:rPr>
          <w:rFonts w:ascii="Times New Roman" w:hAnsi="Times New Roman"/>
          <w:sz w:val="24"/>
          <w:szCs w:val="24"/>
        </w:rPr>
        <w:t xml:space="preserve"> empresas. No âmbito dos municípios, poderão estes entes federativos regulamentar, através de Lei </w:t>
      </w:r>
      <w:r>
        <w:rPr>
          <w:rFonts w:ascii="Times New Roman" w:hAnsi="Times New Roman"/>
          <w:sz w:val="24"/>
          <w:szCs w:val="24"/>
        </w:rPr>
        <w:t>municipal.</w:t>
      </w:r>
    </w:p>
    <w:p w:rsidR="008C0310" w:rsidRPr="008C0310" w:rsidRDefault="008C0310" w:rsidP="008C0310">
      <w:pPr>
        <w:ind w:right="-852" w:firstLine="708"/>
        <w:jc w:val="both"/>
        <w:rPr>
          <w:rFonts w:ascii="Times New Roman" w:hAnsi="Times New Roman"/>
          <w:sz w:val="24"/>
          <w:szCs w:val="24"/>
        </w:rPr>
      </w:pPr>
    </w:p>
    <w:p w:rsidR="008C0310" w:rsidRDefault="008C0310" w:rsidP="008C0310">
      <w:pPr>
        <w:ind w:right="-852" w:firstLine="708"/>
        <w:jc w:val="both"/>
        <w:rPr>
          <w:rFonts w:ascii="Times New Roman" w:hAnsi="Times New Roman"/>
          <w:sz w:val="24"/>
          <w:szCs w:val="24"/>
        </w:rPr>
      </w:pPr>
      <w:r w:rsidRPr="008C0310">
        <w:rPr>
          <w:rFonts w:ascii="Times New Roman" w:hAnsi="Times New Roman"/>
          <w:sz w:val="24"/>
          <w:szCs w:val="24"/>
        </w:rPr>
        <w:t xml:space="preserve">As medidas da lei visam estimular o crescimento econômico mediante a facilitação da criação de novos negócios privados, impulsionando assim a atividade econômica local. Com efeito, é especialmente sensível aos interesses da administração pública municipal a regulamentação dos procedimentos relativos às empresas de atividades de baixo risco.  </w:t>
      </w:r>
    </w:p>
    <w:p w:rsidR="008C0310" w:rsidRPr="008C0310" w:rsidRDefault="008C0310" w:rsidP="008C0310">
      <w:pPr>
        <w:ind w:right="-852" w:firstLine="708"/>
        <w:jc w:val="both"/>
        <w:rPr>
          <w:rFonts w:ascii="Times New Roman" w:hAnsi="Times New Roman"/>
          <w:sz w:val="24"/>
          <w:szCs w:val="24"/>
        </w:rPr>
      </w:pPr>
    </w:p>
    <w:p w:rsidR="008C0310" w:rsidRPr="008C0310" w:rsidRDefault="008C0310" w:rsidP="008C0310">
      <w:pPr>
        <w:ind w:right="-852" w:firstLine="708"/>
        <w:jc w:val="both"/>
        <w:rPr>
          <w:rFonts w:ascii="Times New Roman" w:hAnsi="Times New Roman"/>
          <w:sz w:val="24"/>
          <w:szCs w:val="24"/>
        </w:rPr>
      </w:pPr>
      <w:r w:rsidRPr="008C0310">
        <w:rPr>
          <w:rFonts w:ascii="Times New Roman" w:hAnsi="Times New Roman"/>
          <w:sz w:val="24"/>
          <w:szCs w:val="24"/>
        </w:rPr>
        <w:t>Neste sentido, são princípios que norteiam o disposto nesta Lei: a liberdade como uma garantia no exercício de atividades econômicas; a boa-fé do particular perante o poder público; a intervenção subsidiária e excepcional do Estado (Município) sobre o exercício de atividades econômicas; e o reconhecimento da vulnerabilidade do particular perante o Estado (Município).</w:t>
      </w:r>
    </w:p>
    <w:p w:rsidR="00C33060" w:rsidRPr="00C33060" w:rsidRDefault="00C33060" w:rsidP="00C33060">
      <w:pPr>
        <w:tabs>
          <w:tab w:val="left" w:pos="4395"/>
        </w:tabs>
        <w:spacing w:line="276" w:lineRule="auto"/>
        <w:ind w:right="-852"/>
        <w:jc w:val="both"/>
        <w:rPr>
          <w:rFonts w:ascii="Times New Roman" w:hAnsi="Times New Roman"/>
          <w:color w:val="000000"/>
          <w:sz w:val="24"/>
          <w:szCs w:val="24"/>
          <w:shd w:val="clear" w:color="auto" w:fill="FFFFFF"/>
        </w:rPr>
      </w:pPr>
    </w:p>
    <w:p w:rsidR="00C33060" w:rsidRPr="00C33060" w:rsidRDefault="00C33060" w:rsidP="00C33060">
      <w:pPr>
        <w:spacing w:line="276" w:lineRule="auto"/>
        <w:ind w:right="-852" w:firstLine="708"/>
        <w:jc w:val="both"/>
        <w:rPr>
          <w:rFonts w:ascii="Times New Roman" w:hAnsi="Times New Roman"/>
          <w:sz w:val="24"/>
          <w:szCs w:val="24"/>
        </w:rPr>
      </w:pPr>
      <w:r w:rsidRPr="00C33060">
        <w:rPr>
          <w:rFonts w:ascii="Times New Roman" w:hAnsi="Times New Roman"/>
          <w:sz w:val="24"/>
          <w:szCs w:val="24"/>
        </w:rPr>
        <w:t xml:space="preserve">Na expectativa de contar com a compreensão e o apoio desse Legislativo na aprovação deste Projeto de Lei subscreve, </w:t>
      </w:r>
    </w:p>
    <w:p w:rsidR="00C33060" w:rsidRPr="00C33060" w:rsidRDefault="00C33060" w:rsidP="00C33060">
      <w:pPr>
        <w:spacing w:line="276" w:lineRule="auto"/>
        <w:ind w:right="-852" w:firstLine="708"/>
        <w:jc w:val="both"/>
        <w:rPr>
          <w:rFonts w:ascii="Times New Roman" w:hAnsi="Times New Roman"/>
          <w:sz w:val="24"/>
          <w:szCs w:val="24"/>
        </w:rPr>
      </w:pPr>
    </w:p>
    <w:p w:rsidR="00C33060" w:rsidRPr="00C33060" w:rsidRDefault="00C33060" w:rsidP="00C33060">
      <w:pPr>
        <w:spacing w:line="276" w:lineRule="auto"/>
        <w:ind w:right="-852" w:firstLine="708"/>
        <w:jc w:val="both"/>
        <w:rPr>
          <w:rFonts w:ascii="Times New Roman" w:hAnsi="Times New Roman"/>
          <w:sz w:val="24"/>
          <w:szCs w:val="24"/>
        </w:rPr>
      </w:pPr>
      <w:r w:rsidRPr="00C33060">
        <w:rPr>
          <w:rFonts w:ascii="Times New Roman" w:hAnsi="Times New Roman"/>
          <w:sz w:val="24"/>
          <w:szCs w:val="24"/>
        </w:rPr>
        <w:t>Atenciosamente,</w:t>
      </w:r>
    </w:p>
    <w:p w:rsidR="00C33060" w:rsidRDefault="00C33060" w:rsidP="00C33060">
      <w:pPr>
        <w:spacing w:line="276" w:lineRule="auto"/>
        <w:ind w:right="-852" w:firstLine="708"/>
        <w:jc w:val="both"/>
        <w:rPr>
          <w:rFonts w:ascii="Times New Roman" w:hAnsi="Times New Roman"/>
          <w:sz w:val="24"/>
          <w:szCs w:val="24"/>
        </w:rPr>
      </w:pPr>
    </w:p>
    <w:p w:rsidR="00F75DED" w:rsidRDefault="00F75DED" w:rsidP="00C33060">
      <w:pPr>
        <w:spacing w:line="276" w:lineRule="auto"/>
        <w:ind w:right="-852" w:firstLine="708"/>
        <w:jc w:val="both"/>
        <w:rPr>
          <w:rFonts w:ascii="Times New Roman" w:hAnsi="Times New Roman"/>
          <w:sz w:val="24"/>
          <w:szCs w:val="24"/>
        </w:rPr>
      </w:pPr>
    </w:p>
    <w:p w:rsidR="00F75DED" w:rsidRPr="00C33060" w:rsidRDefault="00F75DED" w:rsidP="00C33060">
      <w:pPr>
        <w:spacing w:line="276" w:lineRule="auto"/>
        <w:ind w:right="-852" w:firstLine="708"/>
        <w:jc w:val="both"/>
        <w:rPr>
          <w:rFonts w:ascii="Times New Roman" w:hAnsi="Times New Roman"/>
          <w:sz w:val="24"/>
          <w:szCs w:val="24"/>
        </w:rPr>
      </w:pPr>
    </w:p>
    <w:p w:rsidR="00C33060" w:rsidRPr="00C33060" w:rsidRDefault="00C33060" w:rsidP="00C33060">
      <w:pPr>
        <w:spacing w:line="276" w:lineRule="auto"/>
        <w:ind w:right="-852"/>
        <w:jc w:val="center"/>
        <w:rPr>
          <w:rFonts w:ascii="Times New Roman" w:hAnsi="Times New Roman"/>
          <w:sz w:val="24"/>
          <w:szCs w:val="24"/>
        </w:rPr>
      </w:pPr>
      <w:r w:rsidRPr="00C33060">
        <w:rPr>
          <w:rFonts w:ascii="Times New Roman" w:hAnsi="Times New Roman"/>
          <w:sz w:val="24"/>
          <w:szCs w:val="24"/>
        </w:rPr>
        <w:t xml:space="preserve">Marco Aurélio </w:t>
      </w:r>
      <w:proofErr w:type="spellStart"/>
      <w:r w:rsidRPr="00C33060">
        <w:rPr>
          <w:rFonts w:ascii="Times New Roman" w:hAnsi="Times New Roman"/>
          <w:sz w:val="24"/>
          <w:szCs w:val="24"/>
        </w:rPr>
        <w:t>Eckert</w:t>
      </w:r>
      <w:proofErr w:type="spellEnd"/>
      <w:r w:rsidRPr="00C33060">
        <w:rPr>
          <w:rFonts w:ascii="Times New Roman" w:hAnsi="Times New Roman"/>
          <w:sz w:val="24"/>
          <w:szCs w:val="24"/>
        </w:rPr>
        <w:t xml:space="preserve">                                                                                                                          Prefeito Municipal</w:t>
      </w:r>
    </w:p>
    <w:p w:rsidR="00C33060" w:rsidRPr="00C33060" w:rsidRDefault="00C33060" w:rsidP="00C33060">
      <w:pPr>
        <w:ind w:right="-852"/>
        <w:jc w:val="center"/>
        <w:rPr>
          <w:rFonts w:ascii="Times New Roman" w:hAnsi="Times New Roman"/>
          <w:sz w:val="24"/>
          <w:szCs w:val="24"/>
        </w:rPr>
      </w:pPr>
    </w:p>
    <w:p w:rsidR="00C33060" w:rsidRPr="00C33060" w:rsidRDefault="00C33060" w:rsidP="00C33060">
      <w:pPr>
        <w:ind w:right="-852"/>
        <w:jc w:val="both"/>
        <w:rPr>
          <w:rFonts w:ascii="Times New Roman" w:hAnsi="Times New Roman"/>
          <w:sz w:val="24"/>
          <w:szCs w:val="24"/>
        </w:rPr>
      </w:pPr>
    </w:p>
    <w:sectPr w:rsidR="00C33060" w:rsidRPr="00C33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9"/>
    <w:rsid w:val="001D2366"/>
    <w:rsid w:val="00247436"/>
    <w:rsid w:val="00263756"/>
    <w:rsid w:val="002C25CA"/>
    <w:rsid w:val="003D5ED9"/>
    <w:rsid w:val="003E1567"/>
    <w:rsid w:val="003E5F2B"/>
    <w:rsid w:val="005053CE"/>
    <w:rsid w:val="00535746"/>
    <w:rsid w:val="007430B5"/>
    <w:rsid w:val="008C0310"/>
    <w:rsid w:val="00971EB9"/>
    <w:rsid w:val="00995F57"/>
    <w:rsid w:val="00A47A16"/>
    <w:rsid w:val="00B03AA4"/>
    <w:rsid w:val="00BC50FF"/>
    <w:rsid w:val="00C33060"/>
    <w:rsid w:val="00DB5C01"/>
    <w:rsid w:val="00DF1AEB"/>
    <w:rsid w:val="00F75DED"/>
    <w:rsid w:val="00FF6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2146E-6179-410F-B8AD-C375B897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B9"/>
    <w:pPr>
      <w:widowControl w:val="0"/>
      <w:overflowPunct w:val="0"/>
      <w:autoSpaceDE w:val="0"/>
      <w:autoSpaceDN w:val="0"/>
      <w:adjustRightInd w:val="0"/>
      <w:spacing w:after="0" w:line="240" w:lineRule="auto"/>
      <w:textAlignment w:val="baseline"/>
    </w:pPr>
    <w:rPr>
      <w:rFonts w:ascii="Verdana" w:eastAsia="Times New Roman" w:hAnsi="Verdan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5053CE"/>
    <w:pPr>
      <w:widowControl/>
      <w:overflowPunct/>
      <w:autoSpaceDE/>
      <w:autoSpaceDN/>
      <w:adjustRightInd/>
      <w:ind w:left="4245"/>
      <w:jc w:val="both"/>
      <w:textAlignment w:val="auto"/>
    </w:pPr>
    <w:rPr>
      <w:rFonts w:ascii="Arial" w:hAnsi="Arial"/>
      <w:b/>
      <w:sz w:val="24"/>
    </w:rPr>
  </w:style>
  <w:style w:type="character" w:customStyle="1" w:styleId="RecuodecorpodetextoChar">
    <w:name w:val="Recuo de corpo de texto Char"/>
    <w:basedOn w:val="Fontepargpadro"/>
    <w:link w:val="Recuodecorpodetexto"/>
    <w:semiHidden/>
    <w:rsid w:val="005053CE"/>
    <w:rPr>
      <w:rFonts w:ascii="Arial" w:eastAsia="Times New Roman" w:hAnsi="Arial" w:cs="Times New Roman"/>
      <w:b/>
      <w:sz w:val="24"/>
      <w:szCs w:val="20"/>
      <w:lang w:eastAsia="pt-BR"/>
    </w:rPr>
  </w:style>
  <w:style w:type="paragraph" w:styleId="Corpodetexto">
    <w:name w:val="Body Text"/>
    <w:basedOn w:val="Normal"/>
    <w:link w:val="CorpodetextoChar"/>
    <w:uiPriority w:val="99"/>
    <w:semiHidden/>
    <w:unhideWhenUsed/>
    <w:rsid w:val="007430B5"/>
    <w:pPr>
      <w:spacing w:after="120"/>
    </w:pPr>
  </w:style>
  <w:style w:type="character" w:customStyle="1" w:styleId="CorpodetextoChar">
    <w:name w:val="Corpo de texto Char"/>
    <w:basedOn w:val="Fontepargpadro"/>
    <w:link w:val="Corpodetexto"/>
    <w:uiPriority w:val="99"/>
    <w:semiHidden/>
    <w:rsid w:val="007430B5"/>
    <w:rPr>
      <w:rFonts w:ascii="Verdana" w:eastAsia="Times New Roman" w:hAnsi="Verdana" w:cs="Times New Roman"/>
      <w:sz w:val="20"/>
      <w:szCs w:val="20"/>
      <w:lang w:eastAsia="pt-BR"/>
    </w:rPr>
  </w:style>
  <w:style w:type="paragraph" w:styleId="Textodebalo">
    <w:name w:val="Balloon Text"/>
    <w:basedOn w:val="Normal"/>
    <w:link w:val="TextodebaloChar"/>
    <w:uiPriority w:val="99"/>
    <w:semiHidden/>
    <w:unhideWhenUsed/>
    <w:rsid w:val="003E5F2B"/>
    <w:rPr>
      <w:rFonts w:ascii="Segoe UI" w:hAnsi="Segoe UI" w:cs="Segoe UI"/>
      <w:sz w:val="18"/>
      <w:szCs w:val="18"/>
    </w:rPr>
  </w:style>
  <w:style w:type="character" w:customStyle="1" w:styleId="TextodebaloChar">
    <w:name w:val="Texto de balão Char"/>
    <w:basedOn w:val="Fontepargpadro"/>
    <w:link w:val="Textodebalo"/>
    <w:uiPriority w:val="99"/>
    <w:semiHidden/>
    <w:rsid w:val="003E5F2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2246</Words>
  <Characters>12130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17</cp:revision>
  <cp:lastPrinted>2019-11-13T12:37:00Z</cp:lastPrinted>
  <dcterms:created xsi:type="dcterms:W3CDTF">2019-10-24T19:15:00Z</dcterms:created>
  <dcterms:modified xsi:type="dcterms:W3CDTF">2019-11-13T12:46:00Z</dcterms:modified>
</cp:coreProperties>
</file>