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19" w:rsidRDefault="006F1219" w:rsidP="006F1219">
      <w:pPr>
        <w:autoSpaceDE w:val="0"/>
        <w:autoSpaceDN w:val="0"/>
        <w:adjustRightInd w:val="0"/>
        <w:spacing w:after="0" w:line="240" w:lineRule="auto"/>
        <w:jc w:val="center"/>
        <w:rPr>
          <w:rFonts w:asciiTheme="minorHAnsi" w:hAnsiTheme="minorHAnsi" w:cstheme="minorHAnsi"/>
          <w:b/>
          <w:bCs/>
          <w:sz w:val="24"/>
          <w:szCs w:val="24"/>
        </w:rPr>
      </w:pPr>
    </w:p>
    <w:p w:rsidR="006F1219" w:rsidRPr="00C86FE9" w:rsidRDefault="006F1219" w:rsidP="006F1219">
      <w:pPr>
        <w:autoSpaceDE w:val="0"/>
        <w:autoSpaceDN w:val="0"/>
        <w:adjustRightInd w:val="0"/>
        <w:spacing w:after="0" w:line="240" w:lineRule="auto"/>
        <w:jc w:val="center"/>
        <w:rPr>
          <w:rFonts w:asciiTheme="minorHAnsi" w:hAnsiTheme="minorHAnsi" w:cstheme="minorHAnsi"/>
          <w:b/>
          <w:bCs/>
        </w:rPr>
      </w:pPr>
    </w:p>
    <w:p w:rsidR="003F03DF" w:rsidRDefault="003F03DF" w:rsidP="006F1219">
      <w:pPr>
        <w:autoSpaceDE w:val="0"/>
        <w:autoSpaceDN w:val="0"/>
        <w:adjustRightInd w:val="0"/>
        <w:spacing w:after="0" w:line="240" w:lineRule="auto"/>
        <w:jc w:val="center"/>
        <w:rPr>
          <w:rFonts w:asciiTheme="minorHAnsi" w:hAnsiTheme="minorHAnsi" w:cstheme="minorHAnsi"/>
          <w:b/>
          <w:bCs/>
        </w:rPr>
      </w:pPr>
    </w:p>
    <w:p w:rsidR="006F1219" w:rsidRPr="00C86FE9" w:rsidRDefault="006F1219" w:rsidP="006F1219">
      <w:pPr>
        <w:autoSpaceDE w:val="0"/>
        <w:autoSpaceDN w:val="0"/>
        <w:adjustRightInd w:val="0"/>
        <w:spacing w:after="0" w:line="240" w:lineRule="auto"/>
        <w:jc w:val="center"/>
        <w:rPr>
          <w:rFonts w:asciiTheme="minorHAnsi" w:hAnsiTheme="minorHAnsi" w:cstheme="minorHAnsi"/>
          <w:b/>
          <w:bCs/>
        </w:rPr>
      </w:pPr>
      <w:r w:rsidRPr="00C86FE9">
        <w:rPr>
          <w:rFonts w:asciiTheme="minorHAnsi" w:hAnsiTheme="minorHAnsi" w:cstheme="minorHAnsi"/>
          <w:b/>
          <w:bCs/>
        </w:rPr>
        <w:t xml:space="preserve">LEI Nº </w:t>
      </w:r>
      <w:r>
        <w:rPr>
          <w:rFonts w:asciiTheme="minorHAnsi" w:hAnsiTheme="minorHAnsi" w:cstheme="minorHAnsi"/>
          <w:b/>
          <w:bCs/>
        </w:rPr>
        <w:t>3390</w:t>
      </w:r>
      <w:r w:rsidRPr="00C86FE9">
        <w:rPr>
          <w:rFonts w:asciiTheme="minorHAnsi" w:hAnsiTheme="minorHAnsi" w:cstheme="minorHAnsi"/>
          <w:b/>
          <w:bCs/>
        </w:rPr>
        <w:t xml:space="preserve"> DE </w:t>
      </w:r>
      <w:r>
        <w:rPr>
          <w:rFonts w:asciiTheme="minorHAnsi" w:hAnsiTheme="minorHAnsi" w:cstheme="minorHAnsi"/>
          <w:b/>
          <w:bCs/>
        </w:rPr>
        <w:t>17</w:t>
      </w:r>
      <w:r w:rsidRPr="00C86FE9">
        <w:rPr>
          <w:rFonts w:asciiTheme="minorHAnsi" w:hAnsiTheme="minorHAnsi" w:cstheme="minorHAnsi"/>
          <w:b/>
          <w:bCs/>
        </w:rPr>
        <w:t xml:space="preserve"> DE </w:t>
      </w:r>
      <w:r>
        <w:rPr>
          <w:rFonts w:asciiTheme="minorHAnsi" w:hAnsiTheme="minorHAnsi" w:cstheme="minorHAnsi"/>
          <w:b/>
          <w:bCs/>
        </w:rPr>
        <w:t>OUTUBRO</w:t>
      </w:r>
      <w:r w:rsidRPr="00C86FE9">
        <w:rPr>
          <w:rFonts w:asciiTheme="minorHAnsi" w:hAnsiTheme="minorHAnsi" w:cstheme="minorHAnsi"/>
          <w:b/>
          <w:bCs/>
        </w:rPr>
        <w:t xml:space="preserve"> DE 2018.</w:t>
      </w:r>
    </w:p>
    <w:p w:rsidR="006F1219" w:rsidRPr="00C86FE9" w:rsidRDefault="006F1219" w:rsidP="006F1219">
      <w:pPr>
        <w:autoSpaceDE w:val="0"/>
        <w:autoSpaceDN w:val="0"/>
        <w:adjustRightInd w:val="0"/>
        <w:spacing w:after="0" w:line="240" w:lineRule="auto"/>
        <w:jc w:val="center"/>
        <w:rPr>
          <w:rFonts w:asciiTheme="minorHAnsi" w:hAnsiTheme="minorHAnsi" w:cstheme="minorHAnsi"/>
        </w:rPr>
      </w:pPr>
    </w:p>
    <w:p w:rsidR="006F1219" w:rsidRDefault="006F1219" w:rsidP="006F1219">
      <w:pPr>
        <w:pStyle w:val="Ttulo3"/>
        <w:ind w:left="5664"/>
        <w:jc w:val="both"/>
        <w:rPr>
          <w:rFonts w:asciiTheme="minorHAnsi" w:hAnsiTheme="minorHAnsi" w:cstheme="minorHAnsi"/>
          <w:sz w:val="22"/>
          <w:szCs w:val="22"/>
        </w:rPr>
      </w:pPr>
      <w:r w:rsidRPr="00C86FE9">
        <w:rPr>
          <w:rFonts w:asciiTheme="minorHAnsi" w:hAnsiTheme="minorHAnsi" w:cstheme="minorHAnsi"/>
          <w:sz w:val="22"/>
          <w:szCs w:val="22"/>
        </w:rPr>
        <w:t xml:space="preserve">Dispõe sobre as diretrizes para a elaboração e execução da Lei Orçamentária de 2019. </w:t>
      </w:r>
    </w:p>
    <w:p w:rsidR="00A800EA" w:rsidRPr="003F03DF" w:rsidRDefault="00A800EA" w:rsidP="003F03DF">
      <w:pPr>
        <w:pStyle w:val="NormalWeb"/>
        <w:spacing w:before="0" w:beforeAutospacing="0" w:afterAutospacing="0" w:line="276" w:lineRule="auto"/>
        <w:ind w:right="-1"/>
        <w:jc w:val="both"/>
        <w:rPr>
          <w:rFonts w:asciiTheme="minorHAnsi" w:hAnsiTheme="minorHAnsi"/>
          <w:sz w:val="22"/>
          <w:szCs w:val="22"/>
        </w:rPr>
      </w:pPr>
      <w:r w:rsidRPr="005012E4">
        <w:rPr>
          <w:rFonts w:asciiTheme="minorHAnsi" w:hAnsiTheme="minorHAnsi" w:cs="Calibri"/>
          <w:color w:val="000000"/>
          <w:sz w:val="22"/>
          <w:szCs w:val="22"/>
        </w:rPr>
        <w:t xml:space="preserve">Marco Aurélio </w:t>
      </w:r>
      <w:proofErr w:type="spellStart"/>
      <w:r w:rsidRPr="005012E4">
        <w:rPr>
          <w:rFonts w:asciiTheme="minorHAnsi" w:hAnsiTheme="minorHAnsi" w:cs="Calibri"/>
          <w:color w:val="000000"/>
          <w:sz w:val="22"/>
          <w:szCs w:val="22"/>
        </w:rPr>
        <w:t>Eckert</w:t>
      </w:r>
      <w:proofErr w:type="spellEnd"/>
      <w:r w:rsidRPr="005012E4">
        <w:rPr>
          <w:rFonts w:asciiTheme="minorHAnsi" w:hAnsiTheme="minorHAnsi" w:cs="Calibri"/>
          <w:color w:val="000000"/>
          <w:sz w:val="22"/>
          <w:szCs w:val="22"/>
        </w:rPr>
        <w:t xml:space="preserve">, Prefeito Municipal de Salvador do Sul, Estado do Rio Grande do Sul, no uso de suas atribuições que lhe são conferidas pelo Art. 70, Inciso IV, </w:t>
      </w:r>
      <w:r w:rsidRPr="005012E4">
        <w:rPr>
          <w:rFonts w:asciiTheme="minorHAnsi" w:hAnsiTheme="minorHAnsi"/>
          <w:sz w:val="22"/>
          <w:szCs w:val="22"/>
        </w:rPr>
        <w:t>da Lei Orgânica do Município, faço saber que a Câmara Municipal de Vereadores aprovou e eu sanciono e promulgo a seguinte:</w:t>
      </w:r>
    </w:p>
    <w:p w:rsidR="00A800EA" w:rsidRPr="00A800EA" w:rsidRDefault="00A800EA" w:rsidP="00A800EA">
      <w:pPr>
        <w:pStyle w:val="Recuodecorpodetexto"/>
        <w:ind w:left="3539" w:firstLine="1"/>
        <w:rPr>
          <w:rFonts w:asciiTheme="minorHAnsi" w:hAnsiTheme="minorHAnsi"/>
          <w:b/>
          <w:sz w:val="22"/>
          <w:szCs w:val="22"/>
        </w:rPr>
      </w:pPr>
      <w:r>
        <w:rPr>
          <w:rFonts w:asciiTheme="minorHAnsi" w:hAnsiTheme="minorHAnsi"/>
          <w:b/>
          <w:sz w:val="22"/>
          <w:szCs w:val="22"/>
        </w:rPr>
        <w:t xml:space="preserve">           </w:t>
      </w:r>
      <w:r w:rsidRPr="005012E4">
        <w:rPr>
          <w:rFonts w:asciiTheme="minorHAnsi" w:hAnsiTheme="minorHAnsi"/>
          <w:b/>
          <w:sz w:val="22"/>
          <w:szCs w:val="22"/>
        </w:rPr>
        <w:t>LEI</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 xml:space="preserve">CAPÍTULO I </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DAS DISPOSIÇÕES PRELIMINARES</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w:t>
      </w:r>
      <w:r w:rsidRPr="00C86FE9">
        <w:rPr>
          <w:rFonts w:asciiTheme="minorHAnsi" w:hAnsiTheme="minorHAnsi" w:cstheme="minorHAnsi"/>
          <w:u w:val="words"/>
          <w:vertAlign w:val="superscript"/>
        </w:rPr>
        <w:t xml:space="preserve">o </w:t>
      </w:r>
      <w:r w:rsidRPr="00C86FE9">
        <w:rPr>
          <w:rFonts w:asciiTheme="minorHAnsi" w:hAnsiTheme="minorHAnsi" w:cstheme="minorHAnsi"/>
        </w:rPr>
        <w:t>São estabelecidas, em cumprimento ao disposto no art. 165, § 2</w:t>
      </w:r>
      <w:r w:rsidRPr="00C86FE9">
        <w:rPr>
          <w:rFonts w:asciiTheme="minorHAnsi" w:hAnsiTheme="minorHAnsi" w:cstheme="minorHAnsi"/>
          <w:u w:val="words"/>
          <w:vertAlign w:val="superscript"/>
        </w:rPr>
        <w:t>o</w:t>
      </w:r>
      <w:r w:rsidRPr="00C86FE9">
        <w:rPr>
          <w:rFonts w:asciiTheme="minorHAnsi" w:hAnsiTheme="minorHAnsi" w:cstheme="minorHAnsi"/>
        </w:rPr>
        <w:t>, da Constituição Federal e na Lei 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4 de maio de 2000, a Lei de Responsabilidade Fiscal, as diretrizes orçamentárias do Município, compreendendo:</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 xml:space="preserve">I – as diretrizes, objetivos e metas da administração para o exercício proposto, em conformidade com o plano plurianual; </w:t>
      </w:r>
    </w:p>
    <w:p w:rsidR="006F1219" w:rsidRPr="00C86FE9" w:rsidRDefault="006F1219" w:rsidP="00864106">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 xml:space="preserve">II - a estrutura, organização e diretrizes para a execução e alterações dos orçamentos do Município; </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III - as disposições relativas às despesas com pessoal;</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IV - as disposições sobre as alterações na legislação tributária;</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 – as disposições para transferências de recursos a entidades públicas e privadas;</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VI – as condições para conveniar com outras esferas de governo.</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Parágrafo único. Faz parte integrante desta Lei:</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 – previsão da Receita e Despesa para 2019 a 2021, contendo:</w:t>
      </w:r>
    </w:p>
    <w:p w:rsidR="006F1219" w:rsidRPr="00C86FE9" w:rsidRDefault="006F1219" w:rsidP="006F1219">
      <w:pPr>
        <w:numPr>
          <w:ilvl w:val="0"/>
          <w:numId w:val="1"/>
        </w:numPr>
        <w:spacing w:after="0" w:line="240" w:lineRule="auto"/>
        <w:ind w:left="1213"/>
        <w:jc w:val="both"/>
        <w:rPr>
          <w:rFonts w:asciiTheme="minorHAnsi" w:hAnsiTheme="minorHAnsi" w:cstheme="minorHAnsi"/>
        </w:rPr>
      </w:pPr>
      <w:proofErr w:type="gramStart"/>
      <w:r w:rsidRPr="00C86FE9">
        <w:rPr>
          <w:rFonts w:asciiTheme="minorHAnsi" w:hAnsiTheme="minorHAnsi" w:cstheme="minorHAnsi"/>
        </w:rPr>
        <w:t>previsão</w:t>
      </w:r>
      <w:proofErr w:type="gramEnd"/>
      <w:r w:rsidRPr="00C86FE9">
        <w:rPr>
          <w:rFonts w:asciiTheme="minorHAnsi" w:hAnsiTheme="minorHAnsi" w:cstheme="minorHAnsi"/>
        </w:rPr>
        <w:t xml:space="preserve"> da receita por categoria econômica e origem;</w:t>
      </w:r>
    </w:p>
    <w:p w:rsidR="006F1219" w:rsidRPr="00C86FE9" w:rsidRDefault="006F1219" w:rsidP="006F1219">
      <w:pPr>
        <w:spacing w:after="0" w:line="240" w:lineRule="auto"/>
        <w:ind w:left="1213"/>
        <w:jc w:val="both"/>
        <w:rPr>
          <w:rFonts w:asciiTheme="minorHAnsi" w:hAnsiTheme="minorHAnsi" w:cstheme="minorHAnsi"/>
        </w:rPr>
      </w:pPr>
    </w:p>
    <w:p w:rsidR="006F1219" w:rsidRPr="00C86FE9" w:rsidRDefault="006F1219" w:rsidP="006F1219">
      <w:pPr>
        <w:numPr>
          <w:ilvl w:val="0"/>
          <w:numId w:val="1"/>
        </w:numPr>
        <w:spacing w:after="0" w:line="240" w:lineRule="auto"/>
        <w:ind w:left="1213"/>
        <w:jc w:val="both"/>
        <w:rPr>
          <w:rFonts w:asciiTheme="minorHAnsi" w:hAnsiTheme="minorHAnsi" w:cstheme="minorHAnsi"/>
        </w:rPr>
      </w:pPr>
      <w:proofErr w:type="gramStart"/>
      <w:r w:rsidRPr="00C86FE9">
        <w:rPr>
          <w:rFonts w:asciiTheme="minorHAnsi" w:hAnsiTheme="minorHAnsi" w:cstheme="minorHAnsi"/>
        </w:rPr>
        <w:t>previsão</w:t>
      </w:r>
      <w:proofErr w:type="gramEnd"/>
      <w:r w:rsidRPr="00C86FE9">
        <w:rPr>
          <w:rFonts w:asciiTheme="minorHAnsi" w:hAnsiTheme="minorHAnsi" w:cstheme="minorHAnsi"/>
        </w:rPr>
        <w:t xml:space="preserve"> da despesa por categoria econômica;</w:t>
      </w:r>
    </w:p>
    <w:p w:rsidR="00D740EE" w:rsidRDefault="006F1219" w:rsidP="00D740EE">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c) metodologia e premissas de cálculo das principais receitas e origens;</w:t>
      </w:r>
    </w:p>
    <w:p w:rsidR="00D740EE" w:rsidRPr="00C86FE9" w:rsidRDefault="00D740EE" w:rsidP="00D740EE">
      <w:pPr>
        <w:spacing w:before="100" w:beforeAutospacing="1" w:after="100" w:afterAutospacing="1"/>
        <w:ind w:firstLine="851"/>
        <w:jc w:val="both"/>
        <w:rPr>
          <w:rFonts w:asciiTheme="minorHAnsi" w:hAnsiTheme="minorHAnsi" w:cstheme="minorHAnsi"/>
        </w:rPr>
      </w:pP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 - previsão da Receita Corrente Líquida para 2019;</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III – anexo de Metas Fiscais que conterá:</w:t>
      </w:r>
    </w:p>
    <w:p w:rsidR="006F1219" w:rsidRPr="00C86FE9" w:rsidRDefault="006F1219" w:rsidP="00D740EE">
      <w:pPr>
        <w:tabs>
          <w:tab w:val="left" w:pos="900"/>
        </w:tabs>
        <w:spacing w:before="100" w:beforeAutospacing="1" w:after="100" w:afterAutospacing="1"/>
        <w:ind w:left="851" w:firstLine="49"/>
        <w:jc w:val="both"/>
        <w:rPr>
          <w:rFonts w:asciiTheme="minorHAnsi" w:hAnsiTheme="minorHAnsi" w:cstheme="minorHAnsi"/>
        </w:rPr>
      </w:pPr>
      <w:r w:rsidRPr="00C86FE9">
        <w:rPr>
          <w:rFonts w:asciiTheme="minorHAnsi" w:hAnsiTheme="minorHAnsi" w:cstheme="minorHAnsi"/>
        </w:rPr>
        <w:t>a) metas anuais de resultado nominal, primário e dívida pública para os exercícios de 2019 a 2021;</w:t>
      </w:r>
    </w:p>
    <w:p w:rsidR="006F1219" w:rsidRPr="00C86FE9" w:rsidRDefault="006F1219" w:rsidP="006F1219">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b) memória e metodologia de cálculo do resultado primário;</w:t>
      </w:r>
    </w:p>
    <w:p w:rsidR="006F1219" w:rsidRPr="00C86FE9" w:rsidRDefault="006F1219" w:rsidP="00D740EE">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c) memória e metodologia de cálculo do resultado nominal;</w:t>
      </w:r>
    </w:p>
    <w:p w:rsidR="006F1219" w:rsidRPr="00C86FE9" w:rsidRDefault="006F1219" w:rsidP="006F1219">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d) avaliação do cumprimento das metas fiscais do exercício anterior;</w:t>
      </w:r>
    </w:p>
    <w:p w:rsidR="006F1219" w:rsidRPr="00C86FE9" w:rsidRDefault="006F1219" w:rsidP="006F1219">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e) metas fiscais atuais comparadas com as fixadas nos três exercícios anteriores;</w:t>
      </w:r>
    </w:p>
    <w:p w:rsidR="006F1219" w:rsidRPr="00C86FE9" w:rsidRDefault="006F1219" w:rsidP="006F1219">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f) evolução do patrimônio líquido;</w:t>
      </w:r>
    </w:p>
    <w:p w:rsidR="006F1219" w:rsidRPr="00C86FE9" w:rsidRDefault="006F1219" w:rsidP="006F1219">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g) origem e aplicação dos recursos obtidos com a alienação de ativos;</w:t>
      </w:r>
    </w:p>
    <w:p w:rsidR="006F1219" w:rsidRPr="00C86FE9" w:rsidRDefault="006F1219" w:rsidP="006F1219">
      <w:pPr>
        <w:tabs>
          <w:tab w:val="left" w:pos="900"/>
        </w:tabs>
        <w:spacing w:before="100" w:beforeAutospacing="1" w:after="100" w:afterAutospacing="1"/>
        <w:ind w:left="900"/>
        <w:jc w:val="both"/>
        <w:rPr>
          <w:rFonts w:asciiTheme="minorHAnsi" w:hAnsiTheme="minorHAnsi" w:cstheme="minorHAnsi"/>
        </w:rPr>
      </w:pPr>
      <w:r w:rsidRPr="00C86FE9">
        <w:rPr>
          <w:rFonts w:asciiTheme="minorHAnsi" w:hAnsiTheme="minorHAnsi" w:cstheme="minorHAnsi"/>
        </w:rPr>
        <w:t>h) avaliação da situação financeira e atuarial do Regime Próprio de Previdência dos Servidores Públicos;</w:t>
      </w:r>
    </w:p>
    <w:p w:rsidR="006F1219" w:rsidRPr="00C86FE9" w:rsidRDefault="006F1219" w:rsidP="006F1219">
      <w:pPr>
        <w:tabs>
          <w:tab w:val="left" w:pos="108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i) estimativa e compensação da renúncia da receita;</w:t>
      </w:r>
    </w:p>
    <w:p w:rsidR="006F1219" w:rsidRPr="00C86FE9" w:rsidRDefault="006F1219" w:rsidP="006F1219">
      <w:pPr>
        <w:tabs>
          <w:tab w:val="left" w:pos="108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j) margem de expansão das despesas obrigatórias de caráter continuado;</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IV - anexo de Riscos Fiscais;</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V – relatório dos projetos em andamento e posição sobre a situação de conservação do patrimônio público e providências a serem adotadas pelo Executivo (Lei 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2000, art. 45, Parágrafo Único); e</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VI – planejamento de despesas para o exercício a que se refere à proposta, nos termos do art. 169, § 1</w:t>
      </w:r>
      <w:r w:rsidRPr="00C86FE9">
        <w:rPr>
          <w:rFonts w:asciiTheme="minorHAnsi" w:hAnsiTheme="minorHAnsi" w:cstheme="minorHAnsi"/>
          <w:u w:val="words"/>
          <w:vertAlign w:val="superscript"/>
        </w:rPr>
        <w:t>o</w:t>
      </w:r>
      <w:r w:rsidRPr="00C86FE9">
        <w:rPr>
          <w:rFonts w:asciiTheme="minorHAnsi" w:hAnsiTheme="minorHAnsi" w:cstheme="minorHAnsi"/>
        </w:rPr>
        <w:t xml:space="preserve"> da Constituição Federal.</w:t>
      </w:r>
    </w:p>
    <w:p w:rsidR="006F1219" w:rsidRPr="00C86FE9" w:rsidRDefault="006F1219" w:rsidP="006F1219">
      <w:pPr>
        <w:pStyle w:val="Ttulo1"/>
        <w:jc w:val="center"/>
        <w:rPr>
          <w:rFonts w:asciiTheme="minorHAnsi" w:hAnsiTheme="minorHAnsi" w:cstheme="minorHAnsi"/>
          <w:bCs w:val="0"/>
          <w:sz w:val="22"/>
          <w:szCs w:val="22"/>
        </w:rPr>
      </w:pPr>
    </w:p>
    <w:p w:rsidR="006F1219" w:rsidRPr="00C86FE9" w:rsidRDefault="006F1219" w:rsidP="006F1219">
      <w:pPr>
        <w:pStyle w:val="Ttulo1"/>
        <w:jc w:val="center"/>
        <w:rPr>
          <w:rFonts w:asciiTheme="minorHAnsi" w:hAnsiTheme="minorHAnsi" w:cstheme="minorHAnsi"/>
          <w:bCs w:val="0"/>
          <w:sz w:val="22"/>
          <w:szCs w:val="22"/>
        </w:rPr>
      </w:pPr>
      <w:r w:rsidRPr="00C86FE9">
        <w:rPr>
          <w:rFonts w:asciiTheme="minorHAnsi" w:hAnsiTheme="minorHAnsi" w:cstheme="minorHAnsi"/>
          <w:bCs w:val="0"/>
          <w:sz w:val="22"/>
          <w:szCs w:val="22"/>
        </w:rPr>
        <w:t>CAPÍTULO II</w:t>
      </w:r>
    </w:p>
    <w:p w:rsidR="006F1219" w:rsidRPr="00C86FE9" w:rsidRDefault="006F1219" w:rsidP="006F1219">
      <w:pPr>
        <w:pStyle w:val="Ttulo1"/>
        <w:jc w:val="center"/>
        <w:rPr>
          <w:rFonts w:asciiTheme="minorHAnsi" w:hAnsiTheme="minorHAnsi" w:cstheme="minorHAnsi"/>
          <w:bCs w:val="0"/>
          <w:sz w:val="22"/>
          <w:szCs w:val="22"/>
        </w:rPr>
      </w:pPr>
      <w:r w:rsidRPr="00C86FE9">
        <w:rPr>
          <w:rFonts w:asciiTheme="minorHAnsi" w:hAnsiTheme="minorHAnsi" w:cstheme="minorHAnsi"/>
          <w:bCs w:val="0"/>
          <w:sz w:val="22"/>
          <w:szCs w:val="22"/>
        </w:rPr>
        <w:t xml:space="preserve">DAS DIRETRIZES, OBJETIVOS E METAS </w:t>
      </w:r>
    </w:p>
    <w:p w:rsidR="006F1219" w:rsidRDefault="006F1219" w:rsidP="006F1219">
      <w:pPr>
        <w:autoSpaceDE w:val="0"/>
        <w:autoSpaceDN w:val="0"/>
        <w:adjustRightInd w:val="0"/>
        <w:spacing w:before="100" w:beforeAutospacing="1" w:after="100" w:afterAutospacing="1"/>
        <w:jc w:val="both"/>
        <w:rPr>
          <w:rFonts w:asciiTheme="minorHAnsi" w:hAnsiTheme="minorHAnsi" w:cstheme="minorHAnsi"/>
        </w:rPr>
      </w:pPr>
      <w:r w:rsidRPr="00C86FE9">
        <w:rPr>
          <w:rFonts w:asciiTheme="minorHAnsi" w:hAnsiTheme="minorHAnsi" w:cstheme="minorHAnsi"/>
        </w:rPr>
        <w:t>Art. 2</w:t>
      </w:r>
      <w:r w:rsidRPr="00C86FE9">
        <w:rPr>
          <w:rFonts w:asciiTheme="minorHAnsi" w:hAnsiTheme="minorHAnsi" w:cstheme="minorHAnsi"/>
          <w:u w:val="words"/>
          <w:vertAlign w:val="superscript"/>
        </w:rPr>
        <w:t>o</w:t>
      </w:r>
      <w:r w:rsidRPr="00C86FE9">
        <w:rPr>
          <w:rFonts w:asciiTheme="minorHAnsi" w:hAnsiTheme="minorHAnsi" w:cstheme="minorHAnsi"/>
        </w:rPr>
        <w:t xml:space="preserve"> As prioridades, em termos de programas, objetivos e metas para os exercícios de 2018 a 2021, são os previstos no anexo dos Programas de Governo do Plano Plurianual que foram priorizados para o exercício de 2019.</w:t>
      </w:r>
    </w:p>
    <w:p w:rsidR="00DC343C" w:rsidRPr="00C86FE9" w:rsidRDefault="00DC343C" w:rsidP="006F1219">
      <w:pPr>
        <w:autoSpaceDE w:val="0"/>
        <w:autoSpaceDN w:val="0"/>
        <w:adjustRightInd w:val="0"/>
        <w:spacing w:before="100" w:beforeAutospacing="1" w:after="100" w:afterAutospacing="1"/>
        <w:jc w:val="both"/>
        <w:rPr>
          <w:rFonts w:asciiTheme="minorHAnsi" w:hAnsiTheme="minorHAnsi" w:cstheme="minorHAnsi"/>
        </w:rPr>
      </w:pP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iCs/>
        </w:rPr>
        <w:t>Art. 3</w:t>
      </w:r>
      <w:r w:rsidRPr="00C86FE9">
        <w:rPr>
          <w:rFonts w:asciiTheme="minorHAnsi" w:hAnsiTheme="minorHAnsi" w:cstheme="minorHAnsi"/>
          <w:u w:val="single"/>
          <w:vertAlign w:val="superscript"/>
        </w:rPr>
        <w:t>o</w:t>
      </w:r>
      <w:r w:rsidRPr="00C86FE9">
        <w:rPr>
          <w:rFonts w:asciiTheme="minorHAnsi" w:hAnsiTheme="minorHAnsi" w:cstheme="minorHAnsi"/>
        </w:rPr>
        <w:t xml:space="preserve"> Os valores constantes no Anexo de que trata o art. 2º possuem caráter indicativo e não normativo, sendo atualizados pela lei orçamentária.</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4</w:t>
      </w:r>
      <w:r w:rsidRPr="00C86FE9">
        <w:rPr>
          <w:rFonts w:asciiTheme="minorHAnsi" w:hAnsiTheme="minorHAnsi" w:cstheme="minorHAnsi"/>
          <w:u w:val="single"/>
          <w:vertAlign w:val="superscript"/>
        </w:rPr>
        <w:t>o</w:t>
      </w:r>
      <w:r w:rsidRPr="00C86FE9">
        <w:rPr>
          <w:rFonts w:asciiTheme="minorHAnsi" w:hAnsiTheme="minorHAnsi" w:cstheme="minorHAnsi"/>
        </w:rPr>
        <w:t xml:space="preserve"> Para efeitos de execução orçamentária os indicadores, os valores, as metas e as iniciativas sem financiamento orçamentário, poderão ser alterados pelo Poder Executivo, devendo este comunicar as alterações ao Legislativo para efeitos de acompanhamento da execução orçamentária prevista na Constituição da República, art. 166, </w:t>
      </w:r>
      <w:r w:rsidRPr="00C86FE9">
        <w:rPr>
          <w:rFonts w:asciiTheme="minorHAnsi" w:hAnsiTheme="minorHAnsi" w:cstheme="minorHAnsi"/>
          <w:i/>
          <w:iCs/>
        </w:rPr>
        <w:t xml:space="preserve">§ </w:t>
      </w:r>
      <w:r w:rsidRPr="00C86FE9">
        <w:rPr>
          <w:rFonts w:asciiTheme="minorHAnsi" w:hAnsiTheme="minorHAnsi" w:cstheme="minorHAnsi"/>
        </w:rPr>
        <w:t>1</w:t>
      </w:r>
      <w:r w:rsidRPr="00C86FE9">
        <w:rPr>
          <w:rFonts w:asciiTheme="minorHAnsi" w:hAnsiTheme="minorHAnsi" w:cstheme="minorHAnsi"/>
          <w:u w:val="single"/>
          <w:vertAlign w:val="superscript"/>
        </w:rPr>
        <w:t>o</w:t>
      </w:r>
      <w:r w:rsidRPr="00C86FE9">
        <w:rPr>
          <w:rFonts w:asciiTheme="minorHAnsi" w:hAnsiTheme="minorHAnsi" w:cstheme="minorHAnsi"/>
        </w:rPr>
        <w:t>, inciso II.</w:t>
      </w:r>
    </w:p>
    <w:p w:rsidR="006F1219" w:rsidRPr="00DC343C" w:rsidRDefault="006F1219" w:rsidP="00DC343C">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5</w:t>
      </w:r>
      <w:r w:rsidRPr="00C86FE9">
        <w:rPr>
          <w:rFonts w:asciiTheme="minorHAnsi" w:hAnsiTheme="minorHAnsi" w:cstheme="minorHAnsi"/>
          <w:u w:val="words"/>
          <w:vertAlign w:val="superscript"/>
        </w:rPr>
        <w:t>o</w:t>
      </w:r>
      <w:r w:rsidRPr="00C86FE9">
        <w:rPr>
          <w:rFonts w:asciiTheme="minorHAnsi" w:hAnsiTheme="minorHAnsi" w:cstheme="minorHAnsi"/>
        </w:rPr>
        <w:t xml:space="preserve"> Os códigos utilizados para os programas no Plano Plurianual serão os mesmos utilizados na lei orçamentária.</w:t>
      </w:r>
    </w:p>
    <w:p w:rsidR="006F1219" w:rsidRPr="00C86FE9" w:rsidRDefault="006F1219" w:rsidP="006F1219">
      <w:pPr>
        <w:pStyle w:val="Ttulo6"/>
        <w:jc w:val="center"/>
        <w:rPr>
          <w:rFonts w:asciiTheme="minorHAnsi" w:hAnsiTheme="minorHAnsi" w:cstheme="minorHAnsi"/>
          <w:bCs w:val="0"/>
          <w:sz w:val="22"/>
          <w:szCs w:val="22"/>
        </w:rPr>
      </w:pPr>
      <w:r w:rsidRPr="00C86FE9">
        <w:rPr>
          <w:rFonts w:asciiTheme="minorHAnsi" w:hAnsiTheme="minorHAnsi" w:cstheme="minorHAnsi"/>
          <w:bCs w:val="0"/>
          <w:sz w:val="22"/>
          <w:szCs w:val="22"/>
        </w:rPr>
        <w:t>CAPÍTULO III</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 xml:space="preserve">A ESTRUTURA E ORGANIZAÇÃO DO ORÇAMENTO </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I</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Apresentação do Orçamento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6</w:t>
      </w:r>
      <w:r w:rsidRPr="00C86FE9">
        <w:rPr>
          <w:rFonts w:asciiTheme="minorHAnsi" w:hAnsiTheme="minorHAnsi" w:cstheme="minorHAnsi"/>
          <w:u w:val="words"/>
          <w:vertAlign w:val="superscript"/>
        </w:rPr>
        <w:t>o</w:t>
      </w:r>
      <w:r w:rsidRPr="00C86FE9">
        <w:rPr>
          <w:rFonts w:asciiTheme="minorHAnsi" w:hAnsiTheme="minorHAnsi" w:cstheme="minorHAnsi"/>
        </w:rPr>
        <w:t xml:space="preserve"> Os Orçamentos Fiscal e da Seguridade Social compreenderão a programação dos Poderes Executivo e Legislativo do Município, seus fundos, órgãos, autarquias e fundações instituídas e mantidas pelo Poder Público, bem como das empresas públicas, sociedades de economia mista e demais entidades em que o Município detenha, direta ou indiretamente, a maioria do capital social com direito a voto e que dela recebam recursos da Fazenda Municipal.</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7</w:t>
      </w:r>
      <w:r w:rsidRPr="00C86FE9">
        <w:rPr>
          <w:rFonts w:asciiTheme="minorHAnsi" w:hAnsiTheme="minorHAnsi" w:cstheme="minorHAnsi"/>
          <w:u w:val="words"/>
          <w:vertAlign w:val="superscript"/>
        </w:rPr>
        <w:t>o</w:t>
      </w:r>
      <w:r w:rsidRPr="00C86FE9">
        <w:rPr>
          <w:rFonts w:asciiTheme="minorHAnsi" w:hAnsiTheme="minorHAnsi" w:cstheme="minorHAnsi"/>
        </w:rPr>
        <w:t xml:space="preserve"> O orçamento discriminará a despesa por órgão e unidade orçamentária, detalhada por categoria de programação até o nível de modalidade de aplicação.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 1</w:t>
      </w:r>
      <w:r w:rsidRPr="00C86FE9">
        <w:rPr>
          <w:rFonts w:asciiTheme="minorHAnsi" w:hAnsiTheme="minorHAnsi" w:cstheme="minorHAnsi"/>
          <w:u w:val="words"/>
          <w:vertAlign w:val="superscript"/>
        </w:rPr>
        <w:t>o</w:t>
      </w:r>
      <w:r w:rsidRPr="00C86FE9">
        <w:rPr>
          <w:rFonts w:asciiTheme="minorHAnsi" w:hAnsiTheme="minorHAnsi" w:cstheme="minorHAnsi"/>
          <w:u w:val="words"/>
        </w:rPr>
        <w:t xml:space="preserve"> </w:t>
      </w:r>
      <w:r w:rsidRPr="00C86FE9">
        <w:rPr>
          <w:rFonts w:asciiTheme="minorHAnsi" w:hAnsiTheme="minorHAnsi" w:cstheme="minorHAnsi"/>
        </w:rPr>
        <w:t>Os Poderes discriminarão, por atos próprios, através do Quadro de Detalhamento da Despesa (QDD), os elementos e respectivos desdobramentos.</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 2</w:t>
      </w:r>
      <w:r w:rsidRPr="00C86FE9">
        <w:rPr>
          <w:rFonts w:asciiTheme="minorHAnsi" w:hAnsiTheme="minorHAnsi" w:cstheme="minorHAnsi"/>
          <w:u w:val="words"/>
          <w:vertAlign w:val="superscript"/>
        </w:rPr>
        <w:t>o</w:t>
      </w:r>
      <w:r w:rsidRPr="00C86FE9">
        <w:rPr>
          <w:rFonts w:asciiTheme="minorHAnsi" w:hAnsiTheme="minorHAnsi" w:cstheme="minorHAnsi"/>
        </w:rPr>
        <w:t xml:space="preserve"> O QDD e as vinculações orçamentárias (destinação e fonte de recursos) poderão ser alteradas por ato dos Poderes para atendimento das necessidades de execução orçamentária.</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O Poder Executivo e o Poder Legislativo editarão Decreto e Resolução, respectivamente, em até 30 dias da promulgação da Lei do Orçamento ou antes do início do exercício, estabelecendo o Quadro de Detalhamento da Despesa (QDD), que discriminará a classificação da despesa até o nível de elemento ou desdobramento.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8</w:t>
      </w:r>
      <w:r w:rsidRPr="00C86FE9">
        <w:rPr>
          <w:rFonts w:asciiTheme="minorHAnsi" w:hAnsiTheme="minorHAnsi" w:cstheme="minorHAnsi"/>
          <w:u w:val="words"/>
          <w:vertAlign w:val="superscript"/>
        </w:rPr>
        <w:t>o</w:t>
      </w:r>
      <w:r w:rsidRPr="00C86FE9">
        <w:rPr>
          <w:rFonts w:asciiTheme="minorHAnsi" w:hAnsiTheme="minorHAnsi" w:cstheme="minorHAnsi"/>
        </w:rPr>
        <w:t xml:space="preserve"> O projeto de lei orçamentária que o Poder Executivo encaminhará ao Legislativo será constituído de:</w:t>
      </w:r>
    </w:p>
    <w:p w:rsidR="006F1219" w:rsidRDefault="006F1219" w:rsidP="006F1219">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I – tabelas explicativas da receita e da despesa do Município de forma integrada, inclusive metodologia e premissa de cálculos, nos termos do que dispõe o art. 12 da Lei Complementar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101, de 2000 e art. 22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DC343C" w:rsidRPr="00C86FE9" w:rsidRDefault="00DC343C" w:rsidP="006F1219">
      <w:pPr>
        <w:pStyle w:val="Corpodetexto2"/>
        <w:spacing w:before="100" w:beforeAutospacing="1" w:after="100" w:afterAutospacing="1"/>
        <w:ind w:left="851"/>
        <w:rPr>
          <w:rFonts w:asciiTheme="minorHAnsi" w:hAnsiTheme="minorHAnsi" w:cstheme="minorHAnsi"/>
          <w:b w:val="0"/>
          <w:bCs/>
          <w:sz w:val="22"/>
          <w:szCs w:val="22"/>
        </w:rPr>
      </w:pPr>
    </w:p>
    <w:p w:rsidR="006F1219" w:rsidRPr="00C86FE9" w:rsidRDefault="006F1219" w:rsidP="006F1219">
      <w:pPr>
        <w:pStyle w:val="Corpodetexto2"/>
        <w:spacing w:before="100" w:beforeAutospacing="1" w:after="100" w:afterAutospacing="1"/>
        <w:ind w:firstLine="851"/>
        <w:rPr>
          <w:rFonts w:asciiTheme="minorHAnsi" w:hAnsiTheme="minorHAnsi" w:cstheme="minorHAnsi"/>
          <w:b w:val="0"/>
          <w:bCs/>
          <w:sz w:val="22"/>
          <w:szCs w:val="22"/>
        </w:rPr>
      </w:pPr>
      <w:r w:rsidRPr="00C86FE9">
        <w:rPr>
          <w:rFonts w:asciiTheme="minorHAnsi" w:hAnsiTheme="minorHAnsi" w:cstheme="minorHAnsi"/>
          <w:b w:val="0"/>
          <w:bCs/>
          <w:sz w:val="22"/>
          <w:szCs w:val="22"/>
        </w:rPr>
        <w:t>II – anexos orçamentários n</w:t>
      </w:r>
      <w:r w:rsidRPr="00C86FE9">
        <w:rPr>
          <w:rFonts w:asciiTheme="minorHAnsi" w:hAnsiTheme="minorHAnsi" w:cstheme="minorHAnsi"/>
          <w:b w:val="0"/>
          <w:bCs/>
          <w:sz w:val="22"/>
          <w:szCs w:val="22"/>
          <w:u w:val="single"/>
          <w:vertAlign w:val="superscript"/>
        </w:rPr>
        <w:t>os</w:t>
      </w:r>
      <w:r w:rsidRPr="00C86FE9">
        <w:rPr>
          <w:rFonts w:asciiTheme="minorHAnsi" w:hAnsiTheme="minorHAnsi" w:cstheme="minorHAnsi"/>
          <w:b w:val="0"/>
          <w:bCs/>
          <w:sz w:val="22"/>
          <w:szCs w:val="22"/>
        </w:rPr>
        <w:t xml:space="preserve"> 1, 2, 6, 7, 8 e 9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6F1219" w:rsidRPr="00C86FE9" w:rsidRDefault="006F1219" w:rsidP="006F1219">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III - descrição sucinta de cada unidade administrativa e de suas principais finalidades com indicação da respectiva legislação (parágrafo único do art. 22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6F1219" w:rsidRPr="00C86FE9" w:rsidRDefault="006F1219" w:rsidP="006F1219">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IV - quadro discriminativo da receita por fontes e respectiva legislação (inciso III, do § 1</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do art. 2</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6F1219" w:rsidRPr="00C86FE9" w:rsidRDefault="006F1219" w:rsidP="00DC343C">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V - quadros demonstrativos da receita e planos de aplicação dos fundos especiais (inciso I, do § 2</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do art. 2</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6F1219" w:rsidRPr="00C86FE9" w:rsidRDefault="006F1219" w:rsidP="006F1219">
      <w:pPr>
        <w:spacing w:before="100" w:beforeAutospacing="1" w:after="100" w:afterAutospacing="1"/>
        <w:ind w:left="851"/>
        <w:jc w:val="both"/>
        <w:rPr>
          <w:rFonts w:asciiTheme="minorHAnsi" w:eastAsia="Arial Unicode MS" w:hAnsiTheme="minorHAnsi" w:cstheme="minorHAnsi"/>
        </w:rPr>
      </w:pPr>
      <w:r w:rsidRPr="00C86FE9">
        <w:rPr>
          <w:rFonts w:asciiTheme="minorHAnsi" w:hAnsiTheme="minorHAnsi" w:cstheme="minorHAnsi"/>
        </w:rPr>
        <w:t>VI - demonstrativo da estimativa e compensação da renúncia da receita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 art. 5</w:t>
      </w:r>
      <w:r w:rsidRPr="00C86FE9">
        <w:rPr>
          <w:rFonts w:asciiTheme="minorHAnsi" w:hAnsiTheme="minorHAnsi" w:cstheme="minorHAnsi"/>
          <w:b/>
          <w:bCs/>
          <w:u w:val="single"/>
          <w:vertAlign w:val="superscript"/>
        </w:rPr>
        <w:t>o</w:t>
      </w:r>
      <w:r w:rsidRPr="00C86FE9">
        <w:rPr>
          <w:rFonts w:asciiTheme="minorHAnsi" w:hAnsiTheme="minorHAnsi" w:cstheme="minorHAnsi"/>
        </w:rPr>
        <w:t>, II)</w:t>
      </w:r>
    </w:p>
    <w:p w:rsidR="006F1219" w:rsidRPr="00C86FE9" w:rsidRDefault="006F1219" w:rsidP="006F1219">
      <w:pPr>
        <w:spacing w:before="100" w:beforeAutospacing="1" w:after="100" w:afterAutospacing="1"/>
        <w:ind w:left="851"/>
        <w:jc w:val="both"/>
        <w:rPr>
          <w:rFonts w:asciiTheme="minorHAnsi" w:eastAsia="Times New Roman" w:hAnsiTheme="minorHAnsi" w:cstheme="minorHAnsi"/>
        </w:rPr>
      </w:pPr>
      <w:r w:rsidRPr="00C86FE9">
        <w:rPr>
          <w:rFonts w:asciiTheme="minorHAnsi" w:hAnsiTheme="minorHAnsi" w:cstheme="minorHAnsi"/>
        </w:rPr>
        <w:t>VII - demonstrativo da margem de expansão das despesas obrigatórias de caráter continuado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 art. 5</w:t>
      </w:r>
      <w:r w:rsidRPr="00C86FE9">
        <w:rPr>
          <w:rFonts w:asciiTheme="minorHAnsi" w:hAnsiTheme="minorHAnsi" w:cstheme="minorHAnsi"/>
          <w:b/>
          <w:bCs/>
          <w:u w:val="single"/>
          <w:vertAlign w:val="superscript"/>
        </w:rPr>
        <w:t>o</w:t>
      </w:r>
      <w:r w:rsidRPr="00C86FE9">
        <w:rPr>
          <w:rFonts w:asciiTheme="minorHAnsi" w:hAnsiTheme="minorHAnsi" w:cstheme="minorHAnsi"/>
        </w:rPr>
        <w:t>, II);</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VIII – demonstrativo das aplicações nas Ações e Serviços Públicos de Saúde (ASPS);</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 xml:space="preserve">IX - demonstrativo das aplicações na Manutenção e Desenvolvimento do Ensino (MDE) e </w:t>
      </w:r>
      <w:r w:rsidRPr="00C86FE9">
        <w:rPr>
          <w:rStyle w:val="st"/>
          <w:rFonts w:asciiTheme="minorHAnsi" w:hAnsiTheme="minorHAnsi" w:cstheme="minorHAnsi"/>
          <w:color w:val="222222"/>
        </w:rPr>
        <w:t>Fundo de Manutenção e Desenvolvimento da Educação Básica e de Valorização dos Profissionais da Educação</w:t>
      </w:r>
      <w:r w:rsidRPr="00C86FE9">
        <w:rPr>
          <w:rFonts w:asciiTheme="minorHAnsi" w:hAnsiTheme="minorHAnsi" w:cstheme="minorHAnsi"/>
        </w:rPr>
        <w:t xml:space="preserve"> (FUNDEB);</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X – relação dos compromissos (convênios e contratos) firmados para 2019 com os respectivos créditos orçamentários;</w:t>
      </w:r>
    </w:p>
    <w:p w:rsidR="006F1219" w:rsidRPr="00C86FE9" w:rsidRDefault="006F1219" w:rsidP="006F1219">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XI - anexo de compatibilidade do orçamento com o anexo de metas fiscais (</w:t>
      </w:r>
      <w:r w:rsidRPr="00C86FE9">
        <w:rPr>
          <w:rFonts w:asciiTheme="minorHAnsi" w:hAnsiTheme="minorHAnsi" w:cstheme="minorHAnsi"/>
        </w:rPr>
        <w:t>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r w:rsidRPr="00C86FE9">
        <w:rPr>
          <w:rFonts w:asciiTheme="minorHAnsi" w:hAnsiTheme="minorHAnsi" w:cstheme="minorHAnsi"/>
          <w:lang w:val="pt-PT"/>
        </w:rPr>
        <w:t xml:space="preserve"> art. 5</w:t>
      </w:r>
      <w:r w:rsidRPr="00C86FE9">
        <w:rPr>
          <w:rFonts w:asciiTheme="minorHAnsi" w:hAnsiTheme="minorHAnsi" w:cstheme="minorHAnsi"/>
          <w:u w:val="single"/>
          <w:vertAlign w:val="superscript"/>
          <w:lang w:val="pt-PT"/>
        </w:rPr>
        <w:t>o</w:t>
      </w:r>
      <w:r w:rsidRPr="00C86FE9">
        <w:rPr>
          <w:rFonts w:asciiTheme="minorHAnsi" w:hAnsiTheme="minorHAnsi" w:cstheme="minorHAnsi"/>
          <w:lang w:val="pt-PT"/>
        </w:rPr>
        <w:t>, I), contendo:</w:t>
      </w:r>
    </w:p>
    <w:p w:rsidR="00B04BD2" w:rsidRDefault="006F1219" w:rsidP="00B04BD2">
      <w:pPr>
        <w:numPr>
          <w:ilvl w:val="0"/>
          <w:numId w:val="2"/>
        </w:numPr>
        <w:spacing w:before="100" w:beforeAutospacing="1" w:after="100" w:afterAutospacing="1" w:line="240" w:lineRule="auto"/>
        <w:ind w:hanging="180"/>
        <w:jc w:val="both"/>
        <w:rPr>
          <w:rFonts w:asciiTheme="minorHAnsi" w:hAnsiTheme="minorHAnsi" w:cstheme="minorHAnsi"/>
          <w:lang w:val="pt-PT"/>
        </w:rPr>
      </w:pPr>
      <w:r w:rsidRPr="00C86FE9">
        <w:rPr>
          <w:rFonts w:asciiTheme="minorHAnsi" w:hAnsiTheme="minorHAnsi" w:cstheme="minorHAnsi"/>
          <w:lang w:val="pt-PT"/>
        </w:rPr>
        <w:t>compatibilidade com o resultado primário;</w:t>
      </w:r>
    </w:p>
    <w:p w:rsidR="006F1219" w:rsidRPr="00B04BD2" w:rsidRDefault="006F1219" w:rsidP="00B04BD2">
      <w:pPr>
        <w:numPr>
          <w:ilvl w:val="0"/>
          <w:numId w:val="2"/>
        </w:numPr>
        <w:spacing w:before="100" w:beforeAutospacing="1" w:after="100" w:afterAutospacing="1" w:line="240" w:lineRule="auto"/>
        <w:ind w:hanging="180"/>
        <w:jc w:val="both"/>
        <w:rPr>
          <w:rFonts w:asciiTheme="minorHAnsi" w:hAnsiTheme="minorHAnsi" w:cstheme="minorHAnsi"/>
          <w:lang w:val="pt-PT"/>
        </w:rPr>
      </w:pPr>
      <w:r w:rsidRPr="00B04BD2">
        <w:rPr>
          <w:rFonts w:asciiTheme="minorHAnsi" w:hAnsiTheme="minorHAnsi" w:cstheme="minorHAnsi"/>
          <w:lang w:val="pt-PT"/>
        </w:rPr>
        <w:t>compatibilidade com o resultado nominal;</w:t>
      </w:r>
    </w:p>
    <w:p w:rsidR="006F1219" w:rsidRPr="00C86FE9" w:rsidRDefault="006F1219" w:rsidP="006F1219">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XII – anexo demonstrativo da receita corrente líquida (</w:t>
      </w:r>
      <w:r w:rsidRPr="00C86FE9">
        <w:rPr>
          <w:rFonts w:asciiTheme="minorHAnsi" w:hAnsiTheme="minorHAnsi" w:cstheme="minorHAnsi"/>
        </w:rPr>
        <w:t>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r w:rsidRPr="00C86FE9">
        <w:rPr>
          <w:rFonts w:asciiTheme="minorHAnsi" w:hAnsiTheme="minorHAnsi" w:cstheme="minorHAnsi"/>
          <w:lang w:val="pt-PT"/>
        </w:rPr>
        <w:t>, art. 12, § 3</w:t>
      </w:r>
      <w:r w:rsidRPr="00C86FE9">
        <w:rPr>
          <w:rFonts w:asciiTheme="minorHAnsi" w:hAnsiTheme="minorHAnsi" w:cstheme="minorHAnsi"/>
          <w:u w:val="single"/>
          <w:vertAlign w:val="superscript"/>
          <w:lang w:val="pt-PT"/>
        </w:rPr>
        <w:t>o</w:t>
      </w:r>
      <w:r w:rsidRPr="00C86FE9">
        <w:rPr>
          <w:rFonts w:asciiTheme="minorHAnsi" w:hAnsiTheme="minorHAnsi" w:cstheme="minorHAnsi"/>
          <w:lang w:val="pt-PT"/>
        </w:rPr>
        <w:t>);</w:t>
      </w:r>
    </w:p>
    <w:p w:rsidR="006F1219" w:rsidRPr="00C86FE9" w:rsidRDefault="006F1219" w:rsidP="006F1219">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XIII – anexo demonstrativo da despesa com pessoal do Executivo, do Legislativo e consolidado do Município;</w:t>
      </w:r>
    </w:p>
    <w:p w:rsidR="006F1219" w:rsidRPr="00C86FE9" w:rsidRDefault="006F1219" w:rsidP="006F1219">
      <w:pPr>
        <w:spacing w:before="100" w:beforeAutospacing="1" w:after="100" w:afterAutospacing="1"/>
        <w:ind w:firstLine="851"/>
        <w:jc w:val="both"/>
        <w:rPr>
          <w:rFonts w:asciiTheme="minorHAnsi" w:hAnsiTheme="minorHAnsi" w:cstheme="minorHAnsi"/>
          <w:lang w:val="pt-PT"/>
        </w:rPr>
      </w:pPr>
      <w:r w:rsidRPr="00C86FE9">
        <w:rPr>
          <w:rFonts w:asciiTheme="minorHAnsi" w:hAnsiTheme="minorHAnsi" w:cstheme="minorHAnsi"/>
          <w:lang w:val="pt-PT"/>
        </w:rPr>
        <w:t>XIV – anexo demonstrativo dos limites do Poder Legislativo:</w:t>
      </w:r>
    </w:p>
    <w:p w:rsidR="006F1219" w:rsidRPr="00C86FE9" w:rsidRDefault="006F1219" w:rsidP="006F1219">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XV – anexo demonstrativo do limite de gastos administrativos do Regime Próprio de Previdência Social;</w:t>
      </w:r>
    </w:p>
    <w:p w:rsidR="006F1219" w:rsidRDefault="006F1219" w:rsidP="006F1219">
      <w:pPr>
        <w:spacing w:before="100" w:beforeAutospacing="1" w:after="100" w:afterAutospacing="1"/>
        <w:ind w:firstLine="851"/>
        <w:jc w:val="both"/>
        <w:rPr>
          <w:rFonts w:asciiTheme="minorHAnsi" w:hAnsiTheme="minorHAnsi" w:cstheme="minorHAnsi"/>
          <w:lang w:val="pt-PT"/>
        </w:rPr>
      </w:pPr>
      <w:r w:rsidRPr="00C86FE9">
        <w:rPr>
          <w:rFonts w:asciiTheme="minorHAnsi" w:hAnsiTheme="minorHAnsi" w:cstheme="minorHAnsi"/>
          <w:lang w:val="pt-PT"/>
        </w:rPr>
        <w:t>XVI – anexo demonstrativo da receita e da despesa por d</w:t>
      </w:r>
      <w:r w:rsidR="00B50198">
        <w:rPr>
          <w:rFonts w:asciiTheme="minorHAnsi" w:hAnsiTheme="minorHAnsi" w:cstheme="minorHAnsi"/>
          <w:lang w:val="pt-PT"/>
        </w:rPr>
        <w:t xml:space="preserve">estinação e fonte de recursos; </w:t>
      </w:r>
    </w:p>
    <w:p w:rsidR="00B50198" w:rsidRPr="00C86FE9" w:rsidRDefault="00B50198" w:rsidP="006F1219">
      <w:pPr>
        <w:spacing w:before="100" w:beforeAutospacing="1" w:after="100" w:afterAutospacing="1"/>
        <w:ind w:firstLine="851"/>
        <w:jc w:val="both"/>
        <w:rPr>
          <w:rFonts w:asciiTheme="minorHAnsi" w:hAnsiTheme="minorHAnsi" w:cstheme="minorHAnsi"/>
          <w:lang w:val="pt-PT"/>
        </w:rPr>
      </w:pPr>
    </w:p>
    <w:p w:rsidR="006F1219" w:rsidRPr="00C86FE9" w:rsidRDefault="006F1219" w:rsidP="00B50198">
      <w:pPr>
        <w:tabs>
          <w:tab w:val="left" w:pos="2410"/>
        </w:tabs>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 xml:space="preserve">XVII – relação dos precatórios a pagar em 2019 </w:t>
      </w:r>
      <w:r w:rsidRPr="00C86FE9">
        <w:rPr>
          <w:rFonts w:asciiTheme="minorHAnsi" w:hAnsiTheme="minorHAnsi" w:cstheme="minorHAnsi"/>
        </w:rPr>
        <w:t>com os respectivos créditos orçamentários</w:t>
      </w:r>
      <w:r w:rsidRPr="00C86FE9">
        <w:rPr>
          <w:rFonts w:asciiTheme="minorHAnsi" w:hAnsiTheme="minorHAnsi" w:cstheme="minorHAnsi"/>
          <w:lang w:val="pt-PT"/>
        </w:rPr>
        <w:t>.</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 1</w:t>
      </w:r>
      <w:r w:rsidRPr="00C86FE9">
        <w:rPr>
          <w:rFonts w:asciiTheme="minorHAnsi" w:hAnsiTheme="minorHAnsi" w:cstheme="minorHAnsi"/>
          <w:u w:val="words"/>
          <w:vertAlign w:val="superscript"/>
        </w:rPr>
        <w:t>o</w:t>
      </w:r>
      <w:r w:rsidRPr="00C86FE9">
        <w:rPr>
          <w:rFonts w:asciiTheme="minorHAnsi" w:hAnsiTheme="minorHAnsi" w:cstheme="minorHAnsi"/>
        </w:rPr>
        <w:t xml:space="preserve"> A mensagem que encaminhar o projeto de lei orçamentária conterá:</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 - exposição circunstanciada da situação econômico-financeira informando saldos de créditos especiais, situação esperada dos restos a pagar ao final do exercício e outros compromissos financeiros exigíveis;</w:t>
      </w:r>
    </w:p>
    <w:p w:rsidR="006F1219" w:rsidRPr="00C86FE9" w:rsidRDefault="006F1219" w:rsidP="00452D5A">
      <w:pPr>
        <w:pStyle w:val="bodytext2"/>
        <w:ind w:left="851"/>
        <w:jc w:val="both"/>
        <w:rPr>
          <w:rFonts w:asciiTheme="minorHAnsi" w:hAnsiTheme="minorHAnsi" w:cstheme="minorHAnsi"/>
          <w:sz w:val="22"/>
          <w:szCs w:val="22"/>
        </w:rPr>
      </w:pPr>
      <w:r w:rsidRPr="00C86FE9">
        <w:rPr>
          <w:rFonts w:asciiTheme="minorHAnsi" w:hAnsiTheme="minorHAnsi" w:cstheme="minorHAnsi"/>
          <w:sz w:val="22"/>
          <w:szCs w:val="22"/>
        </w:rPr>
        <w:t>II - justificativa (metodologia de cálculo) sobre a estimativa e da fixação, respectivamente, da receita e da despesa.</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O envio do projeto de lei, bem como os anexos orçamentários pelo Poder Executivo e o autógrafo elaborado pelo Poder Legislativo, deverá se dar, preferencialmente, em meio eletrônico.</w:t>
      </w:r>
    </w:p>
    <w:p w:rsidR="006F1219" w:rsidRPr="00E1335B" w:rsidRDefault="006F1219" w:rsidP="00E1335B">
      <w:pPr>
        <w:pStyle w:val="bodytext2"/>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O Poder Executivo colocará à disposição do Poder Legislativo, no mínimo trinta dias antes do prazo final para encaminhamento de sua proposta orçamentária, os estudos e as estimativas das receitas tributárias e transferências arrecadadas e previstas até o final do exercício corrente, bem como a previsão da receita corrente líquida prevista para o exercício a que se refere à proposta orçamentária e as respectivas memórias de cálculo.</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II</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Do Equilíbrio entre Receitas e Despesas</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9</w:t>
      </w:r>
      <w:r w:rsidRPr="00C86FE9">
        <w:rPr>
          <w:rFonts w:asciiTheme="minorHAnsi" w:hAnsiTheme="minorHAnsi" w:cstheme="minorHAnsi"/>
          <w:u w:val="words"/>
          <w:vertAlign w:val="superscript"/>
        </w:rPr>
        <w:t>o</w:t>
      </w:r>
      <w:r w:rsidRPr="00C86FE9">
        <w:rPr>
          <w:rFonts w:asciiTheme="minorHAnsi" w:hAnsiTheme="minorHAnsi" w:cstheme="minorHAnsi"/>
        </w:rPr>
        <w:t xml:space="preserve"> A Lei Orçamentária conterá reserva de contingência constituída de dotação global e corresponderá, na lei orçamentária a, no mínimo, 5% (cinco por cento) da receita corrente líquida prevista para o Município, destinada ao atendimento:</w:t>
      </w:r>
    </w:p>
    <w:p w:rsidR="006F1219" w:rsidRPr="00C86FE9" w:rsidRDefault="006F1219" w:rsidP="006F1219">
      <w:pPr>
        <w:numPr>
          <w:ilvl w:val="0"/>
          <w:numId w:val="3"/>
        </w:numPr>
        <w:tabs>
          <w:tab w:val="num" w:pos="1260"/>
        </w:tabs>
        <w:spacing w:before="100" w:beforeAutospacing="1" w:after="100" w:afterAutospacing="1" w:line="240" w:lineRule="auto"/>
        <w:ind w:hanging="529"/>
        <w:jc w:val="both"/>
        <w:rPr>
          <w:rFonts w:asciiTheme="minorHAnsi" w:hAnsiTheme="minorHAnsi" w:cstheme="minorHAnsi"/>
        </w:rPr>
      </w:pPr>
      <w:proofErr w:type="gramStart"/>
      <w:r w:rsidRPr="00C86FE9">
        <w:rPr>
          <w:rFonts w:asciiTheme="minorHAnsi" w:hAnsiTheme="minorHAnsi" w:cstheme="minorHAnsi"/>
        </w:rPr>
        <w:t>de</w:t>
      </w:r>
      <w:proofErr w:type="gramEnd"/>
      <w:r w:rsidRPr="00C86FE9">
        <w:rPr>
          <w:rFonts w:asciiTheme="minorHAnsi" w:hAnsiTheme="minorHAnsi" w:cstheme="minorHAnsi"/>
        </w:rPr>
        <w:t xml:space="preserve"> passivos contingentes - 1%  </w:t>
      </w:r>
    </w:p>
    <w:p w:rsidR="006F1219" w:rsidRPr="00C86FE9" w:rsidRDefault="006F1219" w:rsidP="006F1219">
      <w:pPr>
        <w:numPr>
          <w:ilvl w:val="0"/>
          <w:numId w:val="3"/>
        </w:numPr>
        <w:tabs>
          <w:tab w:val="num" w:pos="1260"/>
        </w:tabs>
        <w:spacing w:before="100" w:beforeAutospacing="1" w:after="100" w:afterAutospacing="1" w:line="240" w:lineRule="auto"/>
        <w:ind w:hanging="529"/>
        <w:jc w:val="both"/>
        <w:rPr>
          <w:rFonts w:asciiTheme="minorHAnsi" w:hAnsiTheme="minorHAnsi" w:cstheme="minorHAnsi"/>
        </w:rPr>
      </w:pPr>
      <w:proofErr w:type="gramStart"/>
      <w:r w:rsidRPr="00C86FE9">
        <w:rPr>
          <w:rFonts w:asciiTheme="minorHAnsi" w:hAnsiTheme="minorHAnsi" w:cstheme="minorHAnsi"/>
        </w:rPr>
        <w:t>de</w:t>
      </w:r>
      <w:proofErr w:type="gramEnd"/>
      <w:r w:rsidRPr="00C86FE9">
        <w:rPr>
          <w:rFonts w:asciiTheme="minorHAnsi" w:hAnsiTheme="minorHAnsi" w:cstheme="minorHAnsi"/>
        </w:rPr>
        <w:t xml:space="preserve"> riscos e eventos fiscais imprevistos - 4%:</w:t>
      </w:r>
    </w:p>
    <w:p w:rsidR="006F1219" w:rsidRPr="00C86FE9" w:rsidRDefault="006F1219" w:rsidP="006F1219">
      <w:pPr>
        <w:numPr>
          <w:ilvl w:val="1"/>
          <w:numId w:val="3"/>
        </w:numPr>
        <w:tabs>
          <w:tab w:val="num" w:pos="1260"/>
        </w:tabs>
        <w:spacing w:before="100" w:beforeAutospacing="1" w:after="100" w:afterAutospacing="1" w:line="240" w:lineRule="auto"/>
        <w:ind w:hanging="349"/>
        <w:jc w:val="both"/>
        <w:rPr>
          <w:rFonts w:asciiTheme="minorHAnsi" w:hAnsiTheme="minorHAnsi" w:cstheme="minorHAnsi"/>
        </w:rPr>
      </w:pPr>
      <w:r w:rsidRPr="00C86FE9">
        <w:rPr>
          <w:rFonts w:asciiTheme="minorHAnsi" w:hAnsiTheme="minorHAnsi" w:cstheme="minorHAnsi"/>
        </w:rPr>
        <w:t>3% cobertura de créditos adicionais nos termos da Portaria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163, da Secretaria do Tesouro Nacional, art. 8</w:t>
      </w:r>
      <w:r w:rsidRPr="00C86FE9">
        <w:rPr>
          <w:rFonts w:asciiTheme="minorHAnsi" w:hAnsiTheme="minorHAnsi" w:cstheme="minorHAnsi"/>
          <w:u w:val="single"/>
          <w:vertAlign w:val="superscript"/>
        </w:rPr>
        <w:t>o</w:t>
      </w:r>
      <w:r w:rsidRPr="00C86FE9">
        <w:rPr>
          <w:rFonts w:asciiTheme="minorHAnsi" w:hAnsiTheme="minorHAnsi" w:cstheme="minorHAnsi"/>
        </w:rPr>
        <w:t xml:space="preserve">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p>
    <w:p w:rsidR="006F1219" w:rsidRPr="00C86FE9" w:rsidRDefault="006F1219" w:rsidP="006F1219">
      <w:pPr>
        <w:numPr>
          <w:ilvl w:val="1"/>
          <w:numId w:val="3"/>
        </w:numPr>
        <w:tabs>
          <w:tab w:val="num" w:pos="1260"/>
        </w:tabs>
        <w:spacing w:before="100" w:beforeAutospacing="1" w:after="100" w:afterAutospacing="1" w:line="240" w:lineRule="auto"/>
        <w:ind w:hanging="349"/>
        <w:jc w:val="both"/>
        <w:rPr>
          <w:rFonts w:asciiTheme="minorHAnsi" w:hAnsiTheme="minorHAnsi" w:cstheme="minorHAnsi"/>
        </w:rPr>
      </w:pPr>
      <w:r w:rsidRPr="00C86FE9">
        <w:rPr>
          <w:rFonts w:asciiTheme="minorHAnsi" w:hAnsiTheme="minorHAnsi" w:cstheme="minorHAnsi"/>
        </w:rPr>
        <w:t>1% para demais riscos e eventos fiscais;</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Parágrafo único. A partir do dia 15 do mês de dezembro de 2019 a reserva de contingência poderá ser utilizada livremente como fonte de recursos para a abertura de créditos adicionais.</w:t>
      </w:r>
    </w:p>
    <w:p w:rsidR="006F1219" w:rsidRPr="00C86FE9" w:rsidRDefault="006F1219" w:rsidP="006F1219">
      <w:pPr>
        <w:pStyle w:val="Corpodetexto3"/>
        <w:jc w:val="both"/>
        <w:rPr>
          <w:rFonts w:asciiTheme="minorHAnsi" w:hAnsiTheme="minorHAnsi" w:cstheme="minorHAnsi"/>
          <w:sz w:val="22"/>
          <w:szCs w:val="22"/>
        </w:rPr>
      </w:pPr>
      <w:r w:rsidRPr="00C86FE9">
        <w:rPr>
          <w:rFonts w:asciiTheme="minorHAnsi" w:hAnsiTheme="minorHAnsi" w:cstheme="minorHAnsi"/>
          <w:sz w:val="22"/>
          <w:szCs w:val="22"/>
        </w:rPr>
        <w:t>Art. 10. Para os efeitos do art. 16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 3</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são consideradas despesas irrelevantes aquelas cujos valores não ultrapassarem os limites a que se referem os incisos I, II do art. 24 da Lei n</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8.666, de 1993.</w:t>
      </w:r>
    </w:p>
    <w:p w:rsidR="00E1335B"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11. O Poder Executivo elaborará e publicará, até trinta dias após a publicação da lei orçamentária, cronograma de desembolso mensal para o exercício, nos termos do art. 8</w:t>
      </w:r>
      <w:r w:rsidRPr="00C86FE9">
        <w:rPr>
          <w:rFonts w:asciiTheme="minorHAnsi" w:hAnsiTheme="minorHAnsi" w:cstheme="minorHAnsi"/>
          <w:u w:val="single"/>
          <w:vertAlign w:val="superscript"/>
        </w:rPr>
        <w:t>o</w:t>
      </w:r>
      <w:r w:rsidRPr="00C86FE9">
        <w:rPr>
          <w:rFonts w:asciiTheme="minorHAnsi" w:hAnsiTheme="minorHAnsi" w:cstheme="minorHAnsi"/>
        </w:rPr>
        <w:t xml:space="preserve"> da Lei</w:t>
      </w:r>
      <w:r w:rsidR="00E1335B">
        <w:rPr>
          <w:rFonts w:asciiTheme="minorHAnsi" w:hAnsiTheme="minorHAnsi" w:cstheme="minorHAnsi"/>
        </w:rPr>
        <w:t xml:space="preserve"> </w:t>
      </w:r>
      <w:r w:rsidRPr="00C86FE9">
        <w:rPr>
          <w:rFonts w:asciiTheme="minorHAnsi" w:hAnsiTheme="minorHAnsi" w:cstheme="minorHAnsi"/>
        </w:rPr>
        <w:t>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2000, com vistas a manter durante a execução orçamentária o</w:t>
      </w:r>
      <w:r w:rsidR="00E1335B">
        <w:rPr>
          <w:rFonts w:asciiTheme="minorHAnsi" w:hAnsiTheme="minorHAnsi" w:cstheme="minorHAnsi"/>
        </w:rPr>
        <w:t xml:space="preserve"> </w:t>
      </w:r>
    </w:p>
    <w:p w:rsidR="00E1335B" w:rsidRDefault="00E1335B" w:rsidP="006F1219">
      <w:pPr>
        <w:spacing w:before="100" w:beforeAutospacing="1" w:after="100" w:afterAutospacing="1"/>
        <w:jc w:val="both"/>
        <w:rPr>
          <w:rFonts w:asciiTheme="minorHAnsi" w:hAnsiTheme="minorHAnsi" w:cstheme="minorHAnsi"/>
        </w:rPr>
      </w:pPr>
    </w:p>
    <w:p w:rsidR="006F1219" w:rsidRPr="00C86FE9" w:rsidRDefault="006F1219" w:rsidP="006F1219">
      <w:pPr>
        <w:spacing w:before="100" w:beforeAutospacing="1" w:after="100" w:afterAutospacing="1"/>
        <w:jc w:val="both"/>
        <w:rPr>
          <w:rFonts w:asciiTheme="minorHAnsi" w:hAnsiTheme="minorHAnsi" w:cstheme="minorHAnsi"/>
        </w:rPr>
      </w:pPr>
      <w:proofErr w:type="gramStart"/>
      <w:r w:rsidRPr="00C86FE9">
        <w:rPr>
          <w:rFonts w:asciiTheme="minorHAnsi" w:hAnsiTheme="minorHAnsi" w:cstheme="minorHAnsi"/>
        </w:rPr>
        <w:t>equilíbrio</w:t>
      </w:r>
      <w:proofErr w:type="gramEnd"/>
      <w:r w:rsidRPr="00C86FE9">
        <w:rPr>
          <w:rFonts w:asciiTheme="minorHAnsi" w:hAnsiTheme="minorHAnsi" w:cstheme="minorHAnsi"/>
        </w:rPr>
        <w:t xml:space="preserve"> entre as contas e a regularidade das operações orçamentárias, bem como garantir o atingimento das metas de resultado primário e nominal. </w:t>
      </w:r>
    </w:p>
    <w:p w:rsidR="006F1219" w:rsidRPr="00C86FE9" w:rsidRDefault="006F1219" w:rsidP="006F1219">
      <w:pPr>
        <w:spacing w:before="100" w:beforeAutospacing="1" w:after="100" w:afterAutospacing="1"/>
        <w:jc w:val="both"/>
        <w:rPr>
          <w:rFonts w:asciiTheme="minorHAnsi" w:hAnsiTheme="minorHAnsi" w:cstheme="minorHAnsi"/>
          <w:snapToGrid w:val="0"/>
        </w:rPr>
      </w:pPr>
      <w:r w:rsidRPr="00C86FE9">
        <w:rPr>
          <w:rFonts w:asciiTheme="minorHAnsi" w:hAnsiTheme="minorHAnsi" w:cstheme="minorHAnsi"/>
          <w:snapToGrid w:val="0"/>
        </w:rPr>
        <w:t>§ 1</w:t>
      </w:r>
      <w:r w:rsidRPr="00C86FE9">
        <w:rPr>
          <w:rFonts w:asciiTheme="minorHAnsi" w:hAnsiTheme="minorHAnsi" w:cstheme="minorHAnsi"/>
          <w:u w:val="words"/>
          <w:vertAlign w:val="superscript"/>
        </w:rPr>
        <w:t>o</w:t>
      </w:r>
      <w:r w:rsidRPr="00C86FE9">
        <w:rPr>
          <w:rFonts w:asciiTheme="minorHAnsi" w:hAnsiTheme="minorHAnsi" w:cstheme="minorHAnsi"/>
          <w:snapToGrid w:val="0"/>
        </w:rPr>
        <w:t xml:space="preserve"> Para fins de elaboração da Programação Financeira e Cronograma de Desembolso do Poder Executivo, o Poder Legislativo e as entidades da Administração Indireta, em até 10 (dez) dias da publicação da Lei Orçamentária, encaminharão ao Executivo a sua proposta parcial, para efeitos de integração.</w:t>
      </w:r>
    </w:p>
    <w:p w:rsidR="006F1219" w:rsidRPr="00C86FE9" w:rsidRDefault="006F1219" w:rsidP="006F1219">
      <w:pPr>
        <w:spacing w:before="100" w:beforeAutospacing="1" w:after="100" w:afterAutospacing="1"/>
        <w:jc w:val="both"/>
        <w:rPr>
          <w:rFonts w:asciiTheme="minorHAnsi" w:hAnsiTheme="minorHAnsi" w:cstheme="minorHAnsi"/>
          <w:iCs/>
          <w:snapToGrid w:val="0"/>
        </w:rPr>
      </w:pPr>
      <w:r w:rsidRPr="00C86FE9">
        <w:rPr>
          <w:rFonts w:asciiTheme="minorHAnsi" w:hAnsiTheme="minorHAnsi" w:cstheme="minorHAnsi"/>
          <w:iCs/>
          <w:snapToGrid w:val="0"/>
        </w:rPr>
        <w:t>§ 2</w:t>
      </w:r>
      <w:r w:rsidRPr="00C86FE9">
        <w:rPr>
          <w:rFonts w:asciiTheme="minorHAnsi" w:hAnsiTheme="minorHAnsi" w:cstheme="minorHAnsi"/>
          <w:u w:val="words"/>
          <w:vertAlign w:val="superscript"/>
        </w:rPr>
        <w:t>o</w:t>
      </w:r>
      <w:r w:rsidRPr="00C86FE9">
        <w:rPr>
          <w:rFonts w:asciiTheme="minorHAnsi" w:hAnsiTheme="minorHAnsi" w:cstheme="minorHAnsi"/>
          <w:iCs/>
          <w:snapToGrid w:val="0"/>
        </w:rPr>
        <w:t xml:space="preserve"> As receitas previstas serão desdobradas, pelo Poder Executivo, em metas mensais de arrecadação por destinação de recursos com a especificação, em separado, das medidas de combate à evasão e à sonegação, da quantidade e valores de ações ajuizadas para cobrança da dívida ativa, bem como da evolução do montante dos créditos tributários passíveis de cobrança administrativa.</w:t>
      </w:r>
    </w:p>
    <w:p w:rsidR="006F1219" w:rsidRPr="00C86FE9" w:rsidRDefault="006F1219" w:rsidP="006F1219">
      <w:pPr>
        <w:pStyle w:val="Ttulo2"/>
        <w:spacing w:before="100" w:beforeAutospacing="1" w:after="100" w:afterAutospacing="1"/>
        <w:rPr>
          <w:rFonts w:asciiTheme="minorHAnsi" w:hAnsiTheme="minorHAnsi" w:cstheme="minorHAnsi"/>
          <w:bCs w:val="0"/>
          <w:color w:val="auto"/>
          <w:sz w:val="22"/>
          <w:szCs w:val="22"/>
        </w:rPr>
      </w:pPr>
      <w:r w:rsidRPr="00C86FE9">
        <w:rPr>
          <w:rFonts w:asciiTheme="minorHAnsi" w:hAnsiTheme="minorHAnsi" w:cstheme="minorHAnsi"/>
          <w:bCs w:val="0"/>
          <w:color w:val="auto"/>
          <w:sz w:val="22"/>
          <w:szCs w:val="22"/>
        </w:rPr>
        <w:t>Seção III</w:t>
      </w:r>
    </w:p>
    <w:p w:rsidR="006F1219" w:rsidRPr="00C86FE9" w:rsidRDefault="006F1219" w:rsidP="006F1219">
      <w:pPr>
        <w:spacing w:before="100" w:beforeAutospacing="1" w:after="100" w:afterAutospacing="1"/>
        <w:jc w:val="center"/>
        <w:outlineLvl w:val="5"/>
        <w:rPr>
          <w:rFonts w:asciiTheme="minorHAnsi" w:hAnsiTheme="minorHAnsi" w:cstheme="minorHAnsi"/>
          <w:b/>
        </w:rPr>
      </w:pPr>
      <w:r w:rsidRPr="00C86FE9">
        <w:rPr>
          <w:rFonts w:asciiTheme="minorHAnsi" w:hAnsiTheme="minorHAnsi" w:cstheme="minorHAnsi"/>
          <w:b/>
        </w:rPr>
        <w:t>Dos Recursos Correspondentes às Dotações Orçamentárias Compreendidas os Créditos Adicionais Destinados ao Poder Legislativo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12. O Poder Legislativo do Município terá como limite de despesas em 2019, para efeito de elaboração de sua respectiva proposta orçamentária, a aplicação do percentual de 7% (sete por cento) sobre a receita tributária e de transferências tributárias do Município arrecadadas em 2018, nos termos do art. 29-A da Constituição da República.</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xml:space="preserve">Parágrafo único. Em caso da não-elaboração do cronograma de desembolso, os duodécimos ao Legislativo se darão na forma de parcelas mensais iguais e sucessivas, respeitados, igualmente, os limites de que trata o </w:t>
      </w:r>
      <w:r w:rsidRPr="00C86FE9">
        <w:rPr>
          <w:rFonts w:asciiTheme="minorHAnsi" w:hAnsiTheme="minorHAnsi" w:cstheme="minorHAnsi"/>
          <w:i/>
          <w:iCs/>
          <w:sz w:val="22"/>
          <w:szCs w:val="22"/>
        </w:rPr>
        <w:t>caput</w:t>
      </w:r>
      <w:r w:rsidRPr="00C86FE9">
        <w:rPr>
          <w:rFonts w:asciiTheme="minorHAnsi" w:hAnsiTheme="minorHAnsi" w:cstheme="minorHAnsi"/>
          <w:sz w:val="22"/>
          <w:szCs w:val="22"/>
        </w:rPr>
        <w:t>.</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13. O repasse financeiro relativo aos créditos orçamentários e adicionais ao Legislativo será feito diretamente em conta bancária indicada pelo Poder Legislativo até o dia 20 de cada mês.</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14. Ao final do exercício financeiro o saldo de recursos em caixa ou equivalente de caixa do Legislativo será devolvido ao Poder Executivo, deduzidos os valores correspondentes ao saldo do passivo financeiro, considerando-se somente as contas do Poder Legislativo, podendo, ainda, ser contabilizados como adiantamento de repasses para o próximo exercício.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15. A Execução orçamentária do Legislativo será executada em unidade gestora independente, sendo integrada ao Executivo para fins de consolidação das contas municipais.</w:t>
      </w:r>
    </w:p>
    <w:p w:rsidR="006F1219" w:rsidRPr="00C86FE9" w:rsidRDefault="006F1219" w:rsidP="006F1219">
      <w:pPr>
        <w:pStyle w:val="bodytext2"/>
        <w:jc w:val="center"/>
        <w:outlineLvl w:val="5"/>
        <w:rPr>
          <w:rFonts w:asciiTheme="minorHAnsi" w:hAnsiTheme="minorHAnsi" w:cstheme="minorHAnsi"/>
          <w:b/>
          <w:sz w:val="22"/>
          <w:szCs w:val="22"/>
        </w:rPr>
      </w:pPr>
      <w:r w:rsidRPr="00C86FE9">
        <w:rPr>
          <w:rFonts w:asciiTheme="minorHAnsi" w:hAnsiTheme="minorHAnsi" w:cstheme="minorHAnsi"/>
          <w:b/>
          <w:sz w:val="22"/>
          <w:szCs w:val="22"/>
        </w:rPr>
        <w:t>Seção IV</w:t>
      </w:r>
    </w:p>
    <w:p w:rsidR="006F1219" w:rsidRPr="00C86FE9" w:rsidRDefault="006F1219" w:rsidP="006F1219">
      <w:pPr>
        <w:pStyle w:val="bodytext2"/>
        <w:jc w:val="center"/>
        <w:outlineLvl w:val="5"/>
        <w:rPr>
          <w:rFonts w:asciiTheme="minorHAnsi" w:hAnsiTheme="minorHAnsi" w:cstheme="minorHAnsi"/>
          <w:b/>
          <w:sz w:val="22"/>
          <w:szCs w:val="22"/>
        </w:rPr>
      </w:pPr>
      <w:r w:rsidRPr="00C86FE9">
        <w:rPr>
          <w:rFonts w:asciiTheme="minorHAnsi" w:hAnsiTheme="minorHAnsi" w:cstheme="minorHAnsi"/>
          <w:b/>
          <w:sz w:val="22"/>
          <w:szCs w:val="22"/>
        </w:rPr>
        <w:t>Das Normas Relativas ao Controle de Custos e avaliação dos Resultados dos programas financiados com recursos dos orçamentos</w:t>
      </w:r>
    </w:p>
    <w:p w:rsidR="006F1219" w:rsidRDefault="006F1219" w:rsidP="006F1219">
      <w:pPr>
        <w:autoSpaceDE w:val="0"/>
        <w:autoSpaceDN w:val="0"/>
        <w:adjustRightInd w:val="0"/>
        <w:jc w:val="both"/>
        <w:rPr>
          <w:rFonts w:asciiTheme="minorHAnsi" w:hAnsiTheme="minorHAnsi" w:cstheme="minorHAnsi"/>
        </w:rPr>
      </w:pPr>
      <w:r w:rsidRPr="00C86FE9">
        <w:rPr>
          <w:rFonts w:asciiTheme="minorHAnsi" w:hAnsiTheme="minorHAnsi" w:cstheme="minorHAnsi"/>
        </w:rPr>
        <w:t>Art. 16. A administração instituirá sistema de custos que evidencie o custo dos programas e das ações da administração em termos de serviços prestados aos cidadãos.</w:t>
      </w:r>
    </w:p>
    <w:p w:rsidR="00776232" w:rsidRPr="00C86FE9" w:rsidRDefault="00776232" w:rsidP="006F1219">
      <w:pPr>
        <w:autoSpaceDE w:val="0"/>
        <w:autoSpaceDN w:val="0"/>
        <w:adjustRightInd w:val="0"/>
        <w:jc w:val="both"/>
        <w:rPr>
          <w:rFonts w:asciiTheme="minorHAnsi" w:hAnsiTheme="minorHAnsi" w:cstheme="minorHAnsi"/>
        </w:rPr>
      </w:pP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17. A avaliação dos programas de governo, nos termos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art. 4</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I, alínea “e”, se dará através da internet, no sítio oficial do Município, até 31 de janeiro do exercício seguinte.</w:t>
      </w:r>
    </w:p>
    <w:p w:rsidR="006F1219" w:rsidRPr="00C86FE9" w:rsidRDefault="006F1219" w:rsidP="006F1219">
      <w:pPr>
        <w:pStyle w:val="Ttulo5"/>
        <w:spacing w:before="100" w:beforeAutospacing="1" w:after="100" w:afterAutospacing="1"/>
        <w:ind w:firstLine="0"/>
        <w:rPr>
          <w:rFonts w:asciiTheme="minorHAnsi" w:hAnsiTheme="minorHAnsi" w:cstheme="minorHAnsi"/>
          <w:bCs w:val="0"/>
          <w:sz w:val="22"/>
          <w:szCs w:val="22"/>
        </w:rPr>
      </w:pPr>
      <w:r w:rsidRPr="00C86FE9">
        <w:rPr>
          <w:rFonts w:asciiTheme="minorHAnsi" w:hAnsiTheme="minorHAnsi" w:cstheme="minorHAnsi"/>
          <w:bCs w:val="0"/>
          <w:sz w:val="22"/>
          <w:szCs w:val="22"/>
        </w:rPr>
        <w:t>Seção V</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Disposição Sobre Novos Projetos</w:t>
      </w:r>
    </w:p>
    <w:p w:rsidR="006F1219" w:rsidRPr="00C86FE9" w:rsidRDefault="006F1219" w:rsidP="006F1219">
      <w:pPr>
        <w:autoSpaceDE w:val="0"/>
        <w:autoSpaceDN w:val="0"/>
        <w:adjustRightInd w:val="0"/>
        <w:jc w:val="both"/>
        <w:rPr>
          <w:rFonts w:asciiTheme="minorHAnsi" w:hAnsiTheme="minorHAnsi" w:cstheme="minorHAnsi"/>
        </w:rPr>
      </w:pPr>
      <w:r w:rsidRPr="00C86FE9">
        <w:rPr>
          <w:rFonts w:asciiTheme="minorHAnsi" w:hAnsiTheme="minorHAnsi" w:cstheme="minorHAnsi"/>
        </w:rPr>
        <w:t xml:space="preserve">Art. 18. Além da observância das prioridades e metas de que trata esta Lei, a lei orçamentária e seus créditos adicionais, somente incluirão projetos novos após: </w:t>
      </w:r>
    </w:p>
    <w:p w:rsidR="006F1219" w:rsidRPr="00C86FE9" w:rsidRDefault="006F1219" w:rsidP="00C06E31">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 - tiverem sido adequadamente contemplados todos os projetos em andamento com recursos necessários ao término ou a obtenção de uma unidade completa;</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II – estiverem assegurados os recursos de manutenção do patrimônio público e, efetivamente, o Poder Público estiver adotando as medidas necessárias para tanto.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Parágrafo único. Não constitui infração a este artigo o início de novo projeto, mesmo possuindo outros projetos em andamento, caso haja suficiente previsão de recursos orçamentários e financeiros para o atendimento dos projetos em andamento e novos.</w:t>
      </w:r>
    </w:p>
    <w:p w:rsidR="006F1219" w:rsidRPr="00C86FE9" w:rsidRDefault="006F1219" w:rsidP="006F1219">
      <w:pPr>
        <w:spacing w:before="100" w:beforeAutospacing="1" w:after="100" w:afterAutospacing="1"/>
        <w:ind w:firstLine="851"/>
        <w:jc w:val="both"/>
        <w:rPr>
          <w:rFonts w:asciiTheme="minorHAnsi" w:hAnsiTheme="minorHAnsi" w:cstheme="minorHAnsi"/>
        </w:rPr>
      </w:pP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VI</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Transferência de Recursos para outros Entes</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19. O repasse de recursos para outros Entes deverá possuir autorização legislativa específica e convênio.</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VII</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Transferência de Recursos para as Entidades da Administração Indireta</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20. O Município poderá efetuar transferências financeiras, autorizadas em lei específica, conforme a Constituição da República, art. 167, VIII, a entidades da Administração Indireta até os limites necessários à manutenção das entidades ou investimentos previstos e que não haja suficiente disponibilidade financeira, respeitados os limites orçamentários das entidades.</w:t>
      </w:r>
    </w:p>
    <w:p w:rsidR="006F121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21. A lei orçamentária reservará recursos para a transferência financeira a consórcios públicos que fizer parte em conformidade com o respectivo contrato de rateio.</w:t>
      </w:r>
    </w:p>
    <w:p w:rsidR="00304A5B" w:rsidRDefault="00304A5B" w:rsidP="006F1219">
      <w:pPr>
        <w:pStyle w:val="Recuodecorpodetexto"/>
        <w:spacing w:before="100" w:beforeAutospacing="1" w:after="100" w:afterAutospacing="1"/>
        <w:ind w:firstLine="0"/>
        <w:jc w:val="both"/>
        <w:rPr>
          <w:rFonts w:asciiTheme="minorHAnsi" w:hAnsiTheme="minorHAnsi" w:cstheme="minorHAnsi"/>
          <w:sz w:val="22"/>
          <w:szCs w:val="22"/>
        </w:rPr>
      </w:pPr>
    </w:p>
    <w:p w:rsidR="00304A5B" w:rsidRDefault="00304A5B" w:rsidP="006F1219">
      <w:pPr>
        <w:pStyle w:val="Recuodecorpodetexto"/>
        <w:spacing w:before="100" w:beforeAutospacing="1" w:after="100" w:afterAutospacing="1"/>
        <w:ind w:firstLine="0"/>
        <w:jc w:val="both"/>
        <w:rPr>
          <w:rFonts w:asciiTheme="minorHAnsi" w:hAnsiTheme="minorHAnsi" w:cstheme="minorHAnsi"/>
          <w:sz w:val="22"/>
          <w:szCs w:val="22"/>
        </w:rPr>
      </w:pPr>
    </w:p>
    <w:p w:rsidR="00304A5B" w:rsidRPr="00C86FE9" w:rsidRDefault="00304A5B" w:rsidP="006F1219">
      <w:pPr>
        <w:pStyle w:val="Recuodecorpodetexto"/>
        <w:spacing w:before="100" w:beforeAutospacing="1" w:after="100" w:afterAutospacing="1"/>
        <w:ind w:firstLine="0"/>
        <w:jc w:val="both"/>
        <w:rPr>
          <w:rFonts w:asciiTheme="minorHAnsi" w:hAnsiTheme="minorHAnsi" w:cstheme="minorHAnsi"/>
          <w:sz w:val="22"/>
          <w:szCs w:val="22"/>
        </w:rPr>
      </w:pP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VIII</w:t>
      </w:r>
    </w:p>
    <w:p w:rsidR="006F1219" w:rsidRPr="00C86FE9" w:rsidRDefault="006F1219" w:rsidP="006F1219">
      <w:pPr>
        <w:pStyle w:val="Ttulo5"/>
        <w:keepNext w:val="0"/>
        <w:spacing w:before="100" w:beforeAutospacing="1" w:after="100" w:afterAutospacing="1"/>
        <w:ind w:firstLine="0"/>
        <w:rPr>
          <w:rFonts w:asciiTheme="minorHAnsi" w:hAnsiTheme="minorHAnsi" w:cstheme="minorHAnsi"/>
          <w:bCs w:val="0"/>
          <w:sz w:val="22"/>
          <w:szCs w:val="22"/>
        </w:rPr>
      </w:pPr>
      <w:r w:rsidRPr="00C86FE9">
        <w:rPr>
          <w:rFonts w:asciiTheme="minorHAnsi" w:hAnsiTheme="minorHAnsi" w:cstheme="minorHAnsi"/>
          <w:bCs w:val="0"/>
          <w:sz w:val="22"/>
          <w:szCs w:val="22"/>
        </w:rPr>
        <w:t>Das Transferências de Recursos para o Setor Privado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22. A transferência de recursos às organizações da sociedade civil ocorrerá de acordo com a Lei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13.019, de 31 de julho de 2014.</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23. Somente será autorizada a transferência de recursos a título de auxílios ou contribuições a entidades privadas ou a pessoas físicas, nos casos que não se aplicar a Lei nº 13.019/2014, se observadas as seguintes condições:</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 - declaração de funcionamento regular pelo período mínimo de seis meses;</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 - plano de aplicação dos recursos solicitados;</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III - comprovação que a entidade não visa lucro e que os resultados são investidos para atender suas finalidades;</w:t>
      </w:r>
    </w:p>
    <w:p w:rsidR="006F1219" w:rsidRPr="00C86FE9" w:rsidRDefault="006F1219" w:rsidP="007F723C">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IV – comprovação de que os cargos de direção não são remunerados;</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 - balanço e demonstrações contábeis do último exercício;</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VI – comprovação de regularidade para com a Fazenda Municipal, a previdência social e o Fundo de Garantia.</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24. A transferência de recursos públicos para cobrir déficits de pessoas jurídicas com a finalidade de conceder benefícios fiscais ou econômicos, além das condições previstas no art. 14 da Lei de Responsabilidade Fiscal, deverá ser autorizada por lei específica e, ainda, atender ao interesse público motivado em cada caso específico.</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1º. No que se refere à concessão de empréstimos destinados a pessoas físicas e jurídicas, além do pagamento dos encargos financeiros de juros não inferiores a 12% (doze por cento) ao ano ou ao custo de captação, nos termos do que dispõe o art. 27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estes ficam condicionados ainda a:</w:t>
      </w:r>
    </w:p>
    <w:p w:rsidR="006F1219" w:rsidRPr="00C86FE9" w:rsidRDefault="006F1219" w:rsidP="006F1219">
      <w:pPr>
        <w:numPr>
          <w:ilvl w:val="0"/>
          <w:numId w:val="4"/>
        </w:numPr>
        <w:tabs>
          <w:tab w:val="left" w:pos="1260"/>
        </w:tabs>
        <w:spacing w:before="100" w:beforeAutospacing="1" w:after="100" w:afterAutospacing="1" w:line="240" w:lineRule="auto"/>
        <w:ind w:left="1066" w:hanging="166"/>
        <w:jc w:val="both"/>
        <w:rPr>
          <w:rFonts w:asciiTheme="minorHAnsi" w:hAnsiTheme="minorHAnsi" w:cstheme="minorHAnsi"/>
        </w:rPr>
      </w:pPr>
      <w:proofErr w:type="gramStart"/>
      <w:r w:rsidRPr="00C86FE9">
        <w:rPr>
          <w:rFonts w:asciiTheme="minorHAnsi" w:hAnsiTheme="minorHAnsi" w:cstheme="minorHAnsi"/>
        </w:rPr>
        <w:t>formalização</w:t>
      </w:r>
      <w:proofErr w:type="gramEnd"/>
      <w:r w:rsidRPr="00C86FE9">
        <w:rPr>
          <w:rFonts w:asciiTheme="minorHAnsi" w:hAnsiTheme="minorHAnsi" w:cstheme="minorHAnsi"/>
        </w:rPr>
        <w:t xml:space="preserve"> de contrato ou congênere;</w:t>
      </w:r>
    </w:p>
    <w:p w:rsidR="006F1219" w:rsidRPr="00C86FE9" w:rsidRDefault="006F1219" w:rsidP="006F1219">
      <w:pPr>
        <w:numPr>
          <w:ilvl w:val="0"/>
          <w:numId w:val="4"/>
        </w:numPr>
        <w:tabs>
          <w:tab w:val="left" w:pos="1260"/>
        </w:tabs>
        <w:spacing w:before="100" w:beforeAutospacing="1" w:after="100" w:afterAutospacing="1" w:line="240" w:lineRule="auto"/>
        <w:ind w:left="1066" w:hanging="166"/>
        <w:jc w:val="both"/>
        <w:rPr>
          <w:rFonts w:asciiTheme="minorHAnsi" w:hAnsiTheme="minorHAnsi" w:cstheme="minorHAnsi"/>
        </w:rPr>
      </w:pPr>
      <w:proofErr w:type="gramStart"/>
      <w:r w:rsidRPr="00C86FE9">
        <w:rPr>
          <w:rFonts w:asciiTheme="minorHAnsi" w:hAnsiTheme="minorHAnsi" w:cstheme="minorHAnsi"/>
        </w:rPr>
        <w:t>aprovação</w:t>
      </w:r>
      <w:proofErr w:type="gramEnd"/>
      <w:r w:rsidRPr="00C86FE9">
        <w:rPr>
          <w:rFonts w:asciiTheme="minorHAnsi" w:hAnsiTheme="minorHAnsi" w:cstheme="minorHAnsi"/>
        </w:rPr>
        <w:t xml:space="preserve"> de projeto de investimentos pelo Poder Público;</w:t>
      </w:r>
    </w:p>
    <w:p w:rsidR="006F1219" w:rsidRPr="00C86FE9" w:rsidRDefault="006F1219" w:rsidP="006F1219">
      <w:pPr>
        <w:numPr>
          <w:ilvl w:val="0"/>
          <w:numId w:val="4"/>
        </w:numPr>
        <w:tabs>
          <w:tab w:val="left" w:pos="1260"/>
        </w:tabs>
        <w:spacing w:before="100" w:beforeAutospacing="1" w:after="100" w:afterAutospacing="1" w:line="240" w:lineRule="auto"/>
        <w:ind w:left="1066" w:hanging="166"/>
        <w:jc w:val="both"/>
        <w:rPr>
          <w:rFonts w:asciiTheme="minorHAnsi" w:hAnsiTheme="minorHAnsi" w:cstheme="minorHAnsi"/>
        </w:rPr>
      </w:pPr>
      <w:r>
        <w:rPr>
          <w:rFonts w:asciiTheme="minorHAnsi" w:hAnsiTheme="minorHAnsi" w:cstheme="minorHAnsi"/>
        </w:rPr>
        <w:t xml:space="preserve">    </w:t>
      </w:r>
      <w:proofErr w:type="gramStart"/>
      <w:r w:rsidRPr="00C86FE9">
        <w:rPr>
          <w:rFonts w:asciiTheme="minorHAnsi" w:hAnsiTheme="minorHAnsi" w:cstheme="minorHAnsi"/>
        </w:rPr>
        <w:t>acompanhamento</w:t>
      </w:r>
      <w:proofErr w:type="gramEnd"/>
      <w:r w:rsidRPr="00C86FE9">
        <w:rPr>
          <w:rFonts w:asciiTheme="minorHAnsi" w:hAnsiTheme="minorHAnsi" w:cstheme="minorHAnsi"/>
        </w:rPr>
        <w:t xml:space="preserve"> da execução; e</w:t>
      </w:r>
    </w:p>
    <w:p w:rsidR="006F1219" w:rsidRPr="00C86FE9" w:rsidRDefault="006F1219" w:rsidP="006F1219">
      <w:pPr>
        <w:numPr>
          <w:ilvl w:val="0"/>
          <w:numId w:val="4"/>
        </w:numPr>
        <w:tabs>
          <w:tab w:val="left" w:pos="1260"/>
        </w:tabs>
        <w:spacing w:before="100" w:beforeAutospacing="1" w:after="100" w:afterAutospacing="1" w:line="240" w:lineRule="auto"/>
        <w:ind w:hanging="166"/>
        <w:jc w:val="both"/>
        <w:rPr>
          <w:rFonts w:asciiTheme="minorHAnsi" w:hAnsiTheme="minorHAnsi" w:cstheme="minorHAnsi"/>
        </w:rPr>
      </w:pPr>
      <w:proofErr w:type="gramStart"/>
      <w:r w:rsidRPr="00C86FE9">
        <w:rPr>
          <w:rFonts w:asciiTheme="minorHAnsi" w:hAnsiTheme="minorHAnsi" w:cstheme="minorHAnsi"/>
        </w:rPr>
        <w:t>prestação</w:t>
      </w:r>
      <w:proofErr w:type="gramEnd"/>
      <w:r w:rsidRPr="00C86FE9">
        <w:rPr>
          <w:rFonts w:asciiTheme="minorHAnsi" w:hAnsiTheme="minorHAnsi" w:cstheme="minorHAnsi"/>
        </w:rPr>
        <w:t xml:space="preserve"> de contas.</w:t>
      </w:r>
    </w:p>
    <w:p w:rsidR="006F1219" w:rsidRDefault="006F1219" w:rsidP="006F1219">
      <w:pPr>
        <w:pStyle w:val="Recuodecorpodetexto"/>
        <w:spacing w:before="100" w:beforeAutospacing="1" w:after="100" w:afterAutospacing="1"/>
        <w:ind w:firstLine="0"/>
        <w:jc w:val="both"/>
        <w:rPr>
          <w:rFonts w:asciiTheme="minorHAnsi" w:hAnsiTheme="minorHAnsi" w:cstheme="minorHAnsi"/>
          <w:color w:val="FF0000"/>
          <w:sz w:val="22"/>
          <w:szCs w:val="22"/>
          <w:u w:val="single"/>
        </w:rPr>
      </w:pPr>
      <w:r w:rsidRPr="00C86FE9">
        <w:rPr>
          <w:rFonts w:asciiTheme="minorHAnsi" w:hAnsiTheme="minorHAnsi" w:cstheme="minorHAnsi"/>
          <w:sz w:val="22"/>
          <w:szCs w:val="22"/>
        </w:rPr>
        <w:t>§ 2º. Lei específica poderá, conforme possibilita o parágrafo único do art. 27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estabelecer subsídio para empréstimos.</w:t>
      </w:r>
      <w:r w:rsidRPr="00C86FE9">
        <w:rPr>
          <w:rFonts w:asciiTheme="minorHAnsi" w:hAnsiTheme="minorHAnsi" w:cstheme="minorHAnsi"/>
          <w:color w:val="FF0000"/>
          <w:sz w:val="22"/>
          <w:szCs w:val="22"/>
          <w:u w:val="single"/>
        </w:rPr>
        <w:t xml:space="preserve"> </w:t>
      </w:r>
    </w:p>
    <w:p w:rsidR="007F723C" w:rsidRDefault="007F723C" w:rsidP="006F1219">
      <w:pPr>
        <w:pStyle w:val="Recuodecorpodetexto"/>
        <w:spacing w:before="100" w:beforeAutospacing="1" w:after="100" w:afterAutospacing="1"/>
        <w:ind w:firstLine="0"/>
        <w:jc w:val="both"/>
        <w:rPr>
          <w:rFonts w:asciiTheme="minorHAnsi" w:hAnsiTheme="minorHAnsi" w:cstheme="minorHAnsi"/>
          <w:color w:val="FF0000"/>
          <w:sz w:val="22"/>
          <w:szCs w:val="22"/>
          <w:u w:val="single"/>
        </w:rPr>
      </w:pPr>
    </w:p>
    <w:p w:rsidR="007F723C" w:rsidRDefault="007F723C" w:rsidP="006F1219">
      <w:pPr>
        <w:pStyle w:val="Recuodecorpodetexto"/>
        <w:spacing w:before="100" w:beforeAutospacing="1" w:after="100" w:afterAutospacing="1"/>
        <w:ind w:firstLine="0"/>
        <w:jc w:val="both"/>
        <w:rPr>
          <w:rFonts w:asciiTheme="minorHAnsi" w:hAnsiTheme="minorHAnsi" w:cstheme="minorHAnsi"/>
          <w:color w:val="FF0000"/>
          <w:sz w:val="22"/>
          <w:szCs w:val="22"/>
          <w:u w:val="single"/>
        </w:rPr>
      </w:pPr>
    </w:p>
    <w:p w:rsidR="007F723C" w:rsidRPr="00C86FE9" w:rsidRDefault="007F723C" w:rsidP="006F1219">
      <w:pPr>
        <w:pStyle w:val="Recuodecorpodetexto"/>
        <w:spacing w:before="100" w:beforeAutospacing="1" w:after="100" w:afterAutospacing="1"/>
        <w:ind w:firstLine="0"/>
        <w:jc w:val="both"/>
        <w:rPr>
          <w:rFonts w:asciiTheme="minorHAnsi" w:hAnsiTheme="minorHAnsi" w:cstheme="minorHAnsi"/>
          <w:sz w:val="22"/>
          <w:szCs w:val="22"/>
        </w:rPr>
      </w:pP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IX</w:t>
      </w:r>
    </w:p>
    <w:p w:rsidR="006F1219" w:rsidRPr="00C86FE9" w:rsidRDefault="006F1219" w:rsidP="006F1219">
      <w:pPr>
        <w:pStyle w:val="Ttulo5"/>
        <w:spacing w:before="100" w:beforeAutospacing="1" w:after="100" w:afterAutospacing="1"/>
        <w:ind w:firstLine="0"/>
        <w:rPr>
          <w:rFonts w:asciiTheme="minorHAnsi" w:hAnsiTheme="minorHAnsi" w:cstheme="minorHAnsi"/>
          <w:bCs w:val="0"/>
          <w:sz w:val="22"/>
          <w:szCs w:val="22"/>
        </w:rPr>
      </w:pPr>
      <w:r w:rsidRPr="00C86FE9">
        <w:rPr>
          <w:rFonts w:asciiTheme="minorHAnsi" w:hAnsiTheme="minorHAnsi" w:cstheme="minorHAnsi"/>
          <w:bCs w:val="0"/>
          <w:sz w:val="22"/>
          <w:szCs w:val="22"/>
        </w:rPr>
        <w:t>Dos Créditos Adicionais</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25. Os projetos de lei relativos a créditos adicionais serão apresentados com a classificação da estrutura programática da mesma forma que apresentado na lei orçamentária anual, observado o art. 12 da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1</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Acompanharão os projetos de lei relativos a créditos adicionais:</w:t>
      </w:r>
    </w:p>
    <w:p w:rsidR="006F1219" w:rsidRPr="00C86FE9" w:rsidRDefault="006F1219" w:rsidP="006F1219">
      <w:pPr>
        <w:pStyle w:val="Recuodecorpodetexto"/>
        <w:spacing w:before="100" w:beforeAutospacing="1" w:after="100" w:afterAutospacing="1"/>
        <w:ind w:firstLine="851"/>
        <w:jc w:val="both"/>
        <w:rPr>
          <w:rFonts w:asciiTheme="minorHAnsi" w:hAnsiTheme="minorHAnsi" w:cstheme="minorHAnsi"/>
          <w:sz w:val="22"/>
          <w:szCs w:val="22"/>
        </w:rPr>
      </w:pPr>
      <w:r w:rsidRPr="00C86FE9">
        <w:rPr>
          <w:rFonts w:asciiTheme="minorHAnsi" w:hAnsiTheme="minorHAnsi" w:cstheme="minorHAnsi"/>
          <w:sz w:val="22"/>
          <w:szCs w:val="22"/>
        </w:rPr>
        <w:t>I - as exposições dos motivos que os justifiquem;</w:t>
      </w:r>
    </w:p>
    <w:p w:rsidR="006F1219" w:rsidRPr="00C86FE9" w:rsidRDefault="006F1219" w:rsidP="006F1219">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II – memória de cálculo em caso de excesso de arrecadação ou superávit financeiro do exercício anterior, separando os recursos conforme sua destinação e fonte.</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No Poder Legislativo os créditos adicionais suplementares com indicação de recursos compensatórios, nos termos do art. 43, § 1</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inciso III, da Lei n</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4.320, de 1964, serão abertos por Resolução. </w:t>
      </w:r>
    </w:p>
    <w:p w:rsidR="006F1219" w:rsidRPr="00C86FE9" w:rsidRDefault="006F1219" w:rsidP="0029358B">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A abertura ou reabertura de crédito adicional importa automática modificação do Quadro de Detalhamento da Despesa (QDD), a ser editada por Decreto ou Resolução, conforme o Poder.</w:t>
      </w:r>
    </w:p>
    <w:p w:rsidR="006F1219" w:rsidRPr="00C86FE9" w:rsidRDefault="006F1219" w:rsidP="006F1219">
      <w:pPr>
        <w:pStyle w:val="Recuodecorpodetexto"/>
        <w:spacing w:before="100" w:beforeAutospacing="1" w:after="100" w:afterAutospacing="1"/>
        <w:ind w:firstLine="0"/>
        <w:jc w:val="center"/>
        <w:rPr>
          <w:rFonts w:asciiTheme="minorHAnsi" w:hAnsiTheme="minorHAnsi" w:cstheme="minorHAnsi"/>
          <w:b/>
          <w:sz w:val="22"/>
          <w:szCs w:val="22"/>
        </w:rPr>
      </w:pPr>
      <w:r w:rsidRPr="00C86FE9">
        <w:rPr>
          <w:rFonts w:asciiTheme="minorHAnsi" w:hAnsiTheme="minorHAnsi" w:cstheme="minorHAnsi"/>
          <w:b/>
          <w:sz w:val="22"/>
          <w:szCs w:val="22"/>
        </w:rPr>
        <w:t>Seção X</w:t>
      </w:r>
    </w:p>
    <w:p w:rsidR="006F1219" w:rsidRPr="00C86FE9" w:rsidRDefault="006F1219" w:rsidP="006F1219">
      <w:pPr>
        <w:pStyle w:val="Recuodecorpodetexto"/>
        <w:spacing w:before="100" w:beforeAutospacing="1" w:after="100" w:afterAutospacing="1"/>
        <w:ind w:firstLine="0"/>
        <w:jc w:val="center"/>
        <w:rPr>
          <w:rFonts w:asciiTheme="minorHAnsi" w:hAnsiTheme="minorHAnsi" w:cstheme="minorHAnsi"/>
          <w:b/>
          <w:sz w:val="22"/>
          <w:szCs w:val="22"/>
        </w:rPr>
      </w:pPr>
      <w:r w:rsidRPr="00C86FE9">
        <w:rPr>
          <w:rFonts w:asciiTheme="minorHAnsi" w:hAnsiTheme="minorHAnsi" w:cstheme="minorHAnsi"/>
          <w:b/>
          <w:sz w:val="22"/>
          <w:szCs w:val="22"/>
        </w:rPr>
        <w:t>Da Transposição, Remanejamento e Transferência</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26. Fica o Poder Executivo, mediante decreto, autorizado a efetuar transposição, remanejamento e transferências de dotações orçamentárias.</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1</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A transposição, remanejamento e transferência são instrumentos de flexibilização orçamentária, diferenciando-se dos créditos adicionais que têm a função de corrigir o planejamento.</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Para efeitos desta Lei entende-se como:</w:t>
      </w:r>
    </w:p>
    <w:p w:rsidR="006F1219" w:rsidRPr="00C86FE9" w:rsidRDefault="006F1219" w:rsidP="006F1219">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 – Transposição – o deslocamento de excedentes de dotações orçamentárias de categorias de programação, até o nível de modalidade de aplicação, totalmente concluídas no exercício para outras incluídas como prioridade no exercício;</w:t>
      </w:r>
    </w:p>
    <w:p w:rsidR="006F1219" w:rsidRPr="00C86FE9" w:rsidRDefault="006F1219" w:rsidP="006F1219">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II – Remanejamento – deslocamento de créditos e dotações relativos à extinção, desdobramento ou incorporação de unidades orçamentárias à nova unidade ou, ainda, de créditos ou valores de dotações relativas a servidores que haja alteração de lotação durante o exercício;</w:t>
      </w:r>
    </w:p>
    <w:p w:rsidR="006F1219" w:rsidRDefault="006F1219" w:rsidP="006F1219">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III – Transferência – deslocamento permitido de dotações atribuídas a créditos orçamentários de um mesmo programa de governo.</w:t>
      </w:r>
    </w:p>
    <w:p w:rsidR="00C00298" w:rsidRDefault="00C00298" w:rsidP="006F1219">
      <w:pPr>
        <w:pStyle w:val="Recuodecorpodetexto"/>
        <w:spacing w:before="100" w:beforeAutospacing="1" w:after="100" w:afterAutospacing="1"/>
        <w:ind w:left="851" w:firstLine="0"/>
        <w:jc w:val="both"/>
        <w:rPr>
          <w:rFonts w:asciiTheme="minorHAnsi" w:hAnsiTheme="minorHAnsi" w:cstheme="minorHAnsi"/>
          <w:sz w:val="22"/>
          <w:szCs w:val="22"/>
        </w:rPr>
      </w:pPr>
    </w:p>
    <w:p w:rsidR="00C00298" w:rsidRPr="00C86FE9" w:rsidRDefault="00C00298" w:rsidP="006F1219">
      <w:pPr>
        <w:pStyle w:val="Recuodecorpodetexto"/>
        <w:spacing w:before="100" w:beforeAutospacing="1" w:after="100" w:afterAutospacing="1"/>
        <w:ind w:left="851" w:firstLine="0"/>
        <w:jc w:val="both"/>
        <w:rPr>
          <w:rFonts w:asciiTheme="minorHAnsi" w:hAnsiTheme="minorHAnsi" w:cstheme="minorHAnsi"/>
          <w:sz w:val="22"/>
          <w:szCs w:val="22"/>
        </w:rPr>
      </w:pPr>
    </w:p>
    <w:p w:rsidR="006F1219" w:rsidRPr="00C86FE9" w:rsidRDefault="006F1219" w:rsidP="006F1219">
      <w:pPr>
        <w:pStyle w:val="Ttulo4"/>
        <w:spacing w:before="100" w:beforeAutospacing="1" w:after="100" w:afterAutospacing="1"/>
        <w:rPr>
          <w:rFonts w:asciiTheme="minorHAnsi" w:hAnsiTheme="minorHAnsi" w:cstheme="minorHAnsi"/>
          <w:bCs w:val="0"/>
          <w:sz w:val="22"/>
          <w:szCs w:val="22"/>
        </w:rPr>
      </w:pPr>
    </w:p>
    <w:p w:rsidR="006F1219" w:rsidRPr="00C86FE9" w:rsidRDefault="006F1219" w:rsidP="006F1219">
      <w:pPr>
        <w:pStyle w:val="Ttulo4"/>
        <w:spacing w:before="100" w:beforeAutospacing="1" w:after="100" w:afterAutospacing="1"/>
        <w:rPr>
          <w:rFonts w:asciiTheme="minorHAnsi" w:hAnsiTheme="minorHAnsi" w:cstheme="minorHAnsi"/>
          <w:bCs w:val="0"/>
          <w:sz w:val="22"/>
          <w:szCs w:val="22"/>
        </w:rPr>
      </w:pPr>
      <w:r w:rsidRPr="00C86FE9">
        <w:rPr>
          <w:rFonts w:asciiTheme="minorHAnsi" w:hAnsiTheme="minorHAnsi" w:cstheme="minorHAnsi"/>
          <w:bCs w:val="0"/>
          <w:sz w:val="22"/>
          <w:szCs w:val="22"/>
        </w:rPr>
        <w:t>CAPÍTULO IV</w:t>
      </w:r>
    </w:p>
    <w:p w:rsidR="006F1219" w:rsidRPr="00C86FE9" w:rsidRDefault="006F1219" w:rsidP="006F1219">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DAS DISPOSIÇÕES RELATIVAS ÀS DESPESAS DE CARÁTER CONTINUADO</w:t>
      </w:r>
    </w:p>
    <w:p w:rsidR="006F1219" w:rsidRPr="00C86FE9" w:rsidRDefault="006F1219" w:rsidP="006F1219">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Seção I</w:t>
      </w:r>
    </w:p>
    <w:p w:rsidR="006F1219" w:rsidRPr="00C86FE9" w:rsidRDefault="006F1219" w:rsidP="006F1219">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Do Aproveitamento da Margem de Expansão das Despesas Obrigatórias de Caráter Continuado</w:t>
      </w:r>
    </w:p>
    <w:p w:rsidR="006F1219" w:rsidRPr="00C86FE9" w:rsidRDefault="006F1219" w:rsidP="006F1219">
      <w:pPr>
        <w:autoSpaceDE w:val="0"/>
        <w:autoSpaceDN w:val="0"/>
        <w:adjustRightInd w:val="0"/>
        <w:spacing w:before="100" w:beforeAutospacing="1" w:after="100" w:afterAutospacing="1"/>
        <w:jc w:val="both"/>
        <w:rPr>
          <w:rFonts w:asciiTheme="minorHAnsi" w:hAnsiTheme="minorHAnsi" w:cstheme="minorHAnsi"/>
        </w:rPr>
      </w:pPr>
      <w:r w:rsidRPr="00C86FE9">
        <w:rPr>
          <w:rFonts w:asciiTheme="minorHAnsi" w:hAnsiTheme="minorHAnsi" w:cstheme="minorHAnsi"/>
        </w:rPr>
        <w:t>Art. 27. A compensação de que trata o art. 17, § 2</w:t>
      </w:r>
      <w:r w:rsidRPr="00C86FE9">
        <w:rPr>
          <w:rFonts w:asciiTheme="minorHAnsi" w:hAnsiTheme="minorHAnsi" w:cstheme="minorHAnsi"/>
          <w:u w:val="single"/>
          <w:vertAlign w:val="superscript"/>
        </w:rPr>
        <w:t>o</w:t>
      </w:r>
      <w:r w:rsidRPr="00C86FE9">
        <w:rPr>
          <w:rFonts w:asciiTheme="minorHAnsi" w:hAnsiTheme="minorHAnsi" w:cstheme="minorHAnsi"/>
        </w:rPr>
        <w:t>, da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 quando da criação ou aumento de despesas obrigatórias de caráter continuado, no âmbito dos Poderes Executivo, Administrações Indiretas e Poder Legislativo, poderá ser realizada a partir do aproveitamento da respectiva margem de expansão de cada órgão ou entidade.</w:t>
      </w:r>
    </w:p>
    <w:p w:rsidR="006F1219" w:rsidRPr="00C86FE9" w:rsidRDefault="006F1219" w:rsidP="006F1219">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Seção II</w:t>
      </w:r>
    </w:p>
    <w:p w:rsidR="006F1219" w:rsidRPr="00C86FE9" w:rsidRDefault="006F1219" w:rsidP="006F1219">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Das Despesas com Pessoal</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28. Os projetos de lei sobre criação ou transformação de cargos, bem como os relacionados a aumento de gastos com pessoal e encargos sociais deverão ser acompanhados, além de previsão específica nesta Lei, de impacto orçamentário e financeiro com as seguintes informações:</w:t>
      </w:r>
    </w:p>
    <w:p w:rsidR="006F1219" w:rsidRPr="00C86FE9" w:rsidRDefault="006F1219" w:rsidP="006F1219">
      <w:pPr>
        <w:autoSpaceDE w:val="0"/>
        <w:autoSpaceDN w:val="0"/>
        <w:adjustRightInd w:val="0"/>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 - demonstrativo do cálculo de impacto orçamentário e financeiro que demonstre a situação orçamentária e financeira antes e depois da tomada de decisão sobre a nova despesa, para o exercício e os dois seguintes;</w:t>
      </w:r>
    </w:p>
    <w:p w:rsidR="006F1219" w:rsidRPr="00C86FE9" w:rsidRDefault="006F1219" w:rsidP="006F1219">
      <w:pPr>
        <w:autoSpaceDE w:val="0"/>
        <w:autoSpaceDN w:val="0"/>
        <w:adjustRightInd w:val="0"/>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II - declaração do ordenador de despesas de que existe dotação suficiente e recursos financeiros para atendimento da despesa, com as premissas e metodologias de cálculos utilizadas, conforme estabelece o art. 16 da Lei 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2000;</w:t>
      </w:r>
    </w:p>
    <w:p w:rsidR="006F1219" w:rsidRPr="00C86FE9" w:rsidRDefault="006F1219" w:rsidP="006F1219">
      <w:pPr>
        <w:autoSpaceDE w:val="0"/>
        <w:autoSpaceDN w:val="0"/>
        <w:adjustRightInd w:val="0"/>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III - comprovação da não-afetação das metas fiscais para o exercício;</w:t>
      </w:r>
    </w:p>
    <w:p w:rsidR="006F1219" w:rsidRPr="00C86FE9" w:rsidRDefault="006F1219" w:rsidP="006F1219">
      <w:pPr>
        <w:autoSpaceDE w:val="0"/>
        <w:autoSpaceDN w:val="0"/>
        <w:adjustRightInd w:val="0"/>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IV – medidas de compensação ou comprovação do aproveitamento da margem de expansão das despesas obrigatórias de caráter continuado.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29. Para fins de atendimento ao disposto no art. 169, § 1</w:t>
      </w:r>
      <w:r w:rsidRPr="00C86FE9">
        <w:rPr>
          <w:rFonts w:asciiTheme="minorHAnsi" w:hAnsiTheme="minorHAnsi" w:cstheme="minorHAnsi"/>
          <w:u w:val="words"/>
          <w:vertAlign w:val="superscript"/>
        </w:rPr>
        <w:t>o</w:t>
      </w:r>
      <w:r w:rsidRPr="00C86FE9">
        <w:rPr>
          <w:rFonts w:asciiTheme="minorHAnsi" w:hAnsiTheme="minorHAnsi" w:cstheme="minorHAnsi"/>
        </w:rPr>
        <w:t>, inciso II, o planejamento da despesa com pessoal obedecerá o anexo VI a esta Lei.</w:t>
      </w:r>
    </w:p>
    <w:p w:rsidR="00F0511E"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30. No exercício de 2019 a realização de serviço extraordinário, quando a despesa houver ultrapassado os 51,3% (</w:t>
      </w:r>
      <w:proofErr w:type="spellStart"/>
      <w:r w:rsidRPr="00C86FE9">
        <w:rPr>
          <w:rFonts w:asciiTheme="minorHAnsi" w:hAnsiTheme="minorHAnsi" w:cstheme="minorHAnsi"/>
        </w:rPr>
        <w:t>cinqüenta</w:t>
      </w:r>
      <w:proofErr w:type="spellEnd"/>
      <w:r w:rsidRPr="00C86FE9">
        <w:rPr>
          <w:rFonts w:asciiTheme="minorHAnsi" w:hAnsiTheme="minorHAnsi" w:cstheme="minorHAnsi"/>
        </w:rPr>
        <w:t xml:space="preserve"> e um inteiros e três décimos por cento) e 5,7% (cinco inteiros e sete décimos por cento), respectivamente, no Poder Executivo e Legislativo, somente poderá</w:t>
      </w:r>
    </w:p>
    <w:p w:rsidR="00F0511E" w:rsidRDefault="00F0511E" w:rsidP="006F1219">
      <w:pPr>
        <w:spacing w:before="100" w:beforeAutospacing="1" w:after="100" w:afterAutospacing="1"/>
        <w:jc w:val="both"/>
        <w:rPr>
          <w:rFonts w:asciiTheme="minorHAnsi" w:hAnsiTheme="minorHAnsi" w:cstheme="minorHAnsi"/>
        </w:rPr>
      </w:pP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 xml:space="preserve"> </w:t>
      </w:r>
      <w:proofErr w:type="gramStart"/>
      <w:r w:rsidRPr="00C86FE9">
        <w:rPr>
          <w:rFonts w:asciiTheme="minorHAnsi" w:hAnsiTheme="minorHAnsi" w:cstheme="minorHAnsi"/>
        </w:rPr>
        <w:t>ocorrer</w:t>
      </w:r>
      <w:proofErr w:type="gramEnd"/>
      <w:r w:rsidRPr="00C86FE9">
        <w:rPr>
          <w:rFonts w:asciiTheme="minorHAnsi" w:hAnsiTheme="minorHAnsi" w:cstheme="minorHAnsi"/>
        </w:rPr>
        <w:t xml:space="preserve"> quando destinada ao atendimento de relevantes interesses públicos que ensejam situações emergenciais, de risco ou de prejuízo para a sociedade, dentre estes:</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 – situações de emergência ou calamidade pública;</w:t>
      </w:r>
    </w:p>
    <w:p w:rsidR="006F1219" w:rsidRPr="00C86FE9" w:rsidRDefault="006F1219" w:rsidP="006F1219">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 – situações em que possam estar em risco à segurança de pessoas ou bens;</w:t>
      </w:r>
    </w:p>
    <w:p w:rsidR="006F1219" w:rsidRPr="00C86FE9" w:rsidRDefault="006F1219" w:rsidP="006F1219">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 xml:space="preserve">III – a relação custo-benefício se revelar favorável em relação à outra alternativa possível em situações momentâneas; </w:t>
      </w:r>
    </w:p>
    <w:p w:rsidR="006F1219" w:rsidRPr="00C86FE9" w:rsidRDefault="006F1219" w:rsidP="006F1219">
      <w:pPr>
        <w:pStyle w:val="Ttulo6"/>
        <w:jc w:val="center"/>
        <w:rPr>
          <w:rFonts w:asciiTheme="minorHAnsi" w:hAnsiTheme="minorHAnsi" w:cstheme="minorHAnsi"/>
          <w:bCs w:val="0"/>
          <w:sz w:val="22"/>
          <w:szCs w:val="22"/>
        </w:rPr>
      </w:pPr>
      <w:r w:rsidRPr="00C86FE9">
        <w:rPr>
          <w:rFonts w:asciiTheme="minorHAnsi" w:hAnsiTheme="minorHAnsi" w:cstheme="minorHAnsi"/>
          <w:bCs w:val="0"/>
          <w:sz w:val="22"/>
          <w:szCs w:val="22"/>
        </w:rPr>
        <w:t>CAPÍTULO V</w:t>
      </w:r>
    </w:p>
    <w:p w:rsidR="006F1219" w:rsidRPr="00C86FE9" w:rsidRDefault="006F1219" w:rsidP="006F1219">
      <w:pPr>
        <w:spacing w:before="100" w:beforeAutospacing="1" w:after="100" w:afterAutospacing="1"/>
        <w:jc w:val="center"/>
        <w:outlineLvl w:val="5"/>
        <w:rPr>
          <w:rFonts w:asciiTheme="minorHAnsi" w:hAnsiTheme="minorHAnsi" w:cstheme="minorHAnsi"/>
          <w:b/>
        </w:rPr>
      </w:pPr>
      <w:r w:rsidRPr="00C86FE9">
        <w:rPr>
          <w:rFonts w:asciiTheme="minorHAnsi" w:hAnsiTheme="minorHAnsi" w:cstheme="minorHAnsi"/>
          <w:b/>
        </w:rPr>
        <w:t>DAS DISPOSIÇÕES SOBRE A POLÍTICA TRIBUTÁRIA DO MUNICÍPIO</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31. Na política de administração tributária do Município ficam definidas as seguintes diretrizes para 2019, devendo legislação específica dispor sobre:</w:t>
      </w:r>
    </w:p>
    <w:p w:rsidR="006F1219" w:rsidRPr="00C86FE9" w:rsidRDefault="006F1219" w:rsidP="006F1219">
      <w:pPr>
        <w:numPr>
          <w:ilvl w:val="0"/>
          <w:numId w:val="5"/>
        </w:numPr>
        <w:tabs>
          <w:tab w:val="clear" w:pos="720"/>
          <w:tab w:val="num" w:pos="1080"/>
        </w:tabs>
        <w:spacing w:before="100" w:beforeAutospacing="1" w:after="100" w:afterAutospacing="1" w:line="240" w:lineRule="auto"/>
        <w:ind w:left="1080"/>
        <w:jc w:val="both"/>
        <w:rPr>
          <w:rFonts w:asciiTheme="minorHAnsi" w:hAnsiTheme="minorHAnsi" w:cstheme="minorHAnsi"/>
        </w:rPr>
      </w:pPr>
      <w:proofErr w:type="gramStart"/>
      <w:r w:rsidRPr="00C86FE9">
        <w:rPr>
          <w:rFonts w:asciiTheme="minorHAnsi" w:hAnsiTheme="minorHAnsi" w:cstheme="minorHAnsi"/>
        </w:rPr>
        <w:t>concessão</w:t>
      </w:r>
      <w:proofErr w:type="gramEnd"/>
      <w:r w:rsidRPr="00C86FE9">
        <w:rPr>
          <w:rFonts w:asciiTheme="minorHAnsi" w:hAnsiTheme="minorHAnsi" w:cstheme="minorHAnsi"/>
        </w:rPr>
        <w:t xml:space="preserve"> de anistia parcial aos contribuintes inscritos em dívida ativa do Município;</w:t>
      </w:r>
    </w:p>
    <w:p w:rsidR="006F1219" w:rsidRPr="00C86FE9" w:rsidRDefault="006F1219" w:rsidP="006F1219">
      <w:pPr>
        <w:numPr>
          <w:ilvl w:val="0"/>
          <w:numId w:val="5"/>
        </w:numPr>
        <w:tabs>
          <w:tab w:val="clear" w:pos="720"/>
          <w:tab w:val="num" w:pos="1080"/>
        </w:tabs>
        <w:spacing w:before="100" w:beforeAutospacing="1" w:after="100" w:afterAutospacing="1" w:line="240" w:lineRule="auto"/>
        <w:ind w:left="1080"/>
        <w:jc w:val="both"/>
        <w:rPr>
          <w:rFonts w:asciiTheme="minorHAnsi" w:hAnsiTheme="minorHAnsi" w:cstheme="minorHAnsi"/>
        </w:rPr>
      </w:pPr>
      <w:proofErr w:type="gramStart"/>
      <w:r w:rsidRPr="00C86FE9">
        <w:rPr>
          <w:rFonts w:asciiTheme="minorHAnsi" w:hAnsiTheme="minorHAnsi" w:cstheme="minorHAnsi"/>
        </w:rPr>
        <w:t>concessão</w:t>
      </w:r>
      <w:proofErr w:type="gramEnd"/>
      <w:r w:rsidRPr="00C86FE9">
        <w:rPr>
          <w:rFonts w:asciiTheme="minorHAnsi" w:hAnsiTheme="minorHAnsi" w:cstheme="minorHAnsi"/>
        </w:rPr>
        <w:t xml:space="preserve"> de desconto para pagamento em parcela única do IPTU de até 10% (dez por cento).</w:t>
      </w:r>
    </w:p>
    <w:p w:rsidR="006F1219" w:rsidRPr="00C86FE9" w:rsidRDefault="006F1219" w:rsidP="006F1219">
      <w:pPr>
        <w:pStyle w:val="Ttulo4"/>
        <w:spacing w:before="100" w:beforeAutospacing="1" w:after="100" w:afterAutospacing="1"/>
        <w:rPr>
          <w:rFonts w:asciiTheme="minorHAnsi" w:hAnsiTheme="minorHAnsi" w:cstheme="minorHAnsi"/>
          <w:bCs w:val="0"/>
          <w:sz w:val="22"/>
          <w:szCs w:val="22"/>
        </w:rPr>
      </w:pPr>
      <w:r w:rsidRPr="00C86FE9">
        <w:rPr>
          <w:rFonts w:asciiTheme="minorHAnsi" w:hAnsiTheme="minorHAnsi" w:cstheme="minorHAnsi"/>
          <w:bCs w:val="0"/>
          <w:sz w:val="22"/>
          <w:szCs w:val="22"/>
        </w:rPr>
        <w:t>CAPÍTULO VI</w:t>
      </w:r>
    </w:p>
    <w:p w:rsidR="006F1219" w:rsidRPr="00C86FE9" w:rsidRDefault="006F1219" w:rsidP="006F1219">
      <w:pPr>
        <w:pStyle w:val="Ttulo6"/>
        <w:jc w:val="center"/>
        <w:rPr>
          <w:rFonts w:asciiTheme="minorHAnsi" w:hAnsiTheme="minorHAnsi" w:cstheme="minorHAnsi"/>
          <w:bCs w:val="0"/>
          <w:sz w:val="22"/>
          <w:szCs w:val="22"/>
        </w:rPr>
      </w:pPr>
      <w:r w:rsidRPr="00C86FE9">
        <w:rPr>
          <w:rFonts w:asciiTheme="minorHAnsi" w:hAnsiTheme="minorHAnsi" w:cstheme="minorHAnsi"/>
          <w:bCs w:val="0"/>
          <w:sz w:val="22"/>
          <w:szCs w:val="22"/>
        </w:rPr>
        <w:t>DAS METAS FISCAIS</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32. As metas de resultado fiscal nominal e primário, fixadas nesta lei:</w:t>
      </w:r>
    </w:p>
    <w:p w:rsidR="006F1219" w:rsidRPr="00C86FE9" w:rsidRDefault="006F1219" w:rsidP="006F1219">
      <w:pPr>
        <w:pStyle w:val="bodytext2"/>
        <w:ind w:firstLine="851"/>
        <w:jc w:val="both"/>
        <w:rPr>
          <w:rFonts w:asciiTheme="minorHAnsi" w:hAnsiTheme="minorHAnsi" w:cstheme="minorHAnsi"/>
          <w:sz w:val="22"/>
          <w:szCs w:val="22"/>
        </w:rPr>
      </w:pPr>
      <w:r w:rsidRPr="00C86FE9">
        <w:rPr>
          <w:rFonts w:asciiTheme="minorHAnsi" w:hAnsiTheme="minorHAnsi" w:cstheme="minorHAnsi"/>
          <w:sz w:val="22"/>
          <w:szCs w:val="22"/>
        </w:rPr>
        <w:t>I – serão atualizadas pela lei orçamentária anual;</w:t>
      </w:r>
    </w:p>
    <w:p w:rsidR="006F1219" w:rsidRPr="00C86FE9" w:rsidRDefault="006F1219" w:rsidP="006F1219">
      <w:pPr>
        <w:pStyle w:val="bodytext2"/>
        <w:ind w:left="851"/>
        <w:jc w:val="both"/>
        <w:rPr>
          <w:rFonts w:asciiTheme="minorHAnsi" w:hAnsiTheme="minorHAnsi" w:cstheme="minorHAnsi"/>
          <w:sz w:val="22"/>
          <w:szCs w:val="22"/>
        </w:rPr>
      </w:pPr>
      <w:r w:rsidRPr="00C86FE9">
        <w:rPr>
          <w:rFonts w:asciiTheme="minorHAnsi" w:hAnsiTheme="minorHAnsi" w:cstheme="minorHAnsi"/>
          <w:sz w:val="22"/>
          <w:szCs w:val="22"/>
        </w:rPr>
        <w:t>II – em sua execução admite-se variação em seu cumprimento em até 20% (vinte por cento) das metas fixadas.</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33. A limitação de empenho e movimentação financeira de que trata o art. 9</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da Lei Complementar n</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101, de 2000, será efetivada, separadamente, por cada Poder do Município.</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1</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Constitui critérios para a limitação de empenho e movimentação financeira, a seguinte ordem de prioridade:</w:t>
      </w:r>
    </w:p>
    <w:p w:rsidR="006F1219" w:rsidRPr="00C86FE9" w:rsidRDefault="006F1219" w:rsidP="006F1219">
      <w:pPr>
        <w:pStyle w:val="bodytext2"/>
        <w:ind w:firstLine="851"/>
        <w:jc w:val="both"/>
        <w:rPr>
          <w:rFonts w:asciiTheme="minorHAnsi" w:hAnsiTheme="minorHAnsi" w:cstheme="minorHAnsi"/>
          <w:sz w:val="22"/>
          <w:szCs w:val="22"/>
        </w:rPr>
      </w:pPr>
      <w:r w:rsidRPr="00C86FE9">
        <w:rPr>
          <w:rFonts w:asciiTheme="minorHAnsi" w:hAnsiTheme="minorHAnsi" w:cstheme="minorHAnsi"/>
          <w:sz w:val="22"/>
          <w:szCs w:val="22"/>
        </w:rPr>
        <w:t>I – No Poder Executivo:</w:t>
      </w:r>
    </w:p>
    <w:p w:rsidR="006F1219" w:rsidRPr="00C86FE9" w:rsidRDefault="006F1219" w:rsidP="006F1219">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Diárias;</w:t>
      </w:r>
    </w:p>
    <w:p w:rsidR="006F1219" w:rsidRPr="00C86FE9" w:rsidRDefault="006F1219" w:rsidP="006F1219">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Serviço extraordinário;</w:t>
      </w:r>
    </w:p>
    <w:p w:rsidR="006F1219" w:rsidRPr="00C86FE9" w:rsidRDefault="006F1219" w:rsidP="006F1219">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Realização de obras;</w:t>
      </w:r>
    </w:p>
    <w:p w:rsidR="006F1219" w:rsidRDefault="006F1219" w:rsidP="006F1219">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Redução de despesas com aquisição de equipamentos e material permanente;</w:t>
      </w:r>
    </w:p>
    <w:p w:rsidR="005567F0" w:rsidRPr="00C86FE9" w:rsidRDefault="005567F0" w:rsidP="005567F0">
      <w:pPr>
        <w:pStyle w:val="bodytext2"/>
        <w:jc w:val="both"/>
        <w:rPr>
          <w:rFonts w:asciiTheme="minorHAnsi" w:hAnsiTheme="minorHAnsi" w:cstheme="minorHAnsi"/>
          <w:sz w:val="22"/>
          <w:szCs w:val="22"/>
        </w:rPr>
      </w:pPr>
    </w:p>
    <w:p w:rsidR="006F1219" w:rsidRPr="00C86FE9" w:rsidRDefault="006F1219" w:rsidP="006F1219">
      <w:pPr>
        <w:pStyle w:val="bodytext2"/>
        <w:ind w:firstLine="851"/>
        <w:jc w:val="both"/>
        <w:rPr>
          <w:rFonts w:asciiTheme="minorHAnsi" w:hAnsiTheme="minorHAnsi" w:cstheme="minorHAnsi"/>
          <w:sz w:val="22"/>
          <w:szCs w:val="22"/>
        </w:rPr>
      </w:pPr>
      <w:r w:rsidRPr="00C86FE9">
        <w:rPr>
          <w:rFonts w:asciiTheme="minorHAnsi" w:hAnsiTheme="minorHAnsi" w:cstheme="minorHAnsi"/>
          <w:sz w:val="22"/>
          <w:szCs w:val="22"/>
        </w:rPr>
        <w:t>II – No Poder Legislativo</w:t>
      </w:r>
    </w:p>
    <w:p w:rsidR="006F1219" w:rsidRPr="00C86FE9" w:rsidRDefault="006F1219" w:rsidP="006F1219">
      <w:pPr>
        <w:pStyle w:val="bodytext2"/>
        <w:numPr>
          <w:ilvl w:val="0"/>
          <w:numId w:val="7"/>
        </w:numPr>
        <w:ind w:firstLine="851"/>
        <w:jc w:val="both"/>
        <w:rPr>
          <w:rFonts w:asciiTheme="minorHAnsi" w:hAnsiTheme="minorHAnsi" w:cstheme="minorHAnsi"/>
          <w:sz w:val="22"/>
          <w:szCs w:val="22"/>
        </w:rPr>
      </w:pPr>
      <w:r w:rsidRPr="00C86FE9">
        <w:rPr>
          <w:rFonts w:asciiTheme="minorHAnsi" w:hAnsiTheme="minorHAnsi" w:cstheme="minorHAnsi"/>
          <w:sz w:val="22"/>
          <w:szCs w:val="22"/>
        </w:rPr>
        <w:t>Diárias;</w:t>
      </w:r>
    </w:p>
    <w:p w:rsidR="006F1219" w:rsidRPr="00C86FE9" w:rsidRDefault="006F1219" w:rsidP="006F1219">
      <w:pPr>
        <w:pStyle w:val="bodytext2"/>
        <w:numPr>
          <w:ilvl w:val="0"/>
          <w:numId w:val="7"/>
        </w:numPr>
        <w:ind w:firstLine="851"/>
        <w:jc w:val="both"/>
        <w:rPr>
          <w:rFonts w:asciiTheme="minorHAnsi" w:hAnsiTheme="minorHAnsi" w:cstheme="minorHAnsi"/>
          <w:sz w:val="22"/>
          <w:szCs w:val="22"/>
        </w:rPr>
      </w:pPr>
      <w:r w:rsidRPr="00C86FE9">
        <w:rPr>
          <w:rFonts w:asciiTheme="minorHAnsi" w:hAnsiTheme="minorHAnsi" w:cstheme="minorHAnsi"/>
          <w:sz w:val="22"/>
          <w:szCs w:val="22"/>
        </w:rPr>
        <w:t xml:space="preserve">Realização de serviço extraordinário; </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Em não sendo suficiente ou inviável sob o ponto de vista de administração, a limitação de empenho poderá ocorrer sobre outras despesas, com exceção:</w:t>
      </w:r>
    </w:p>
    <w:p w:rsidR="006F1219" w:rsidRPr="00C86FE9" w:rsidRDefault="006F1219" w:rsidP="006F1219">
      <w:pPr>
        <w:pStyle w:val="bodytext2"/>
        <w:ind w:firstLine="900"/>
        <w:jc w:val="both"/>
        <w:rPr>
          <w:rFonts w:asciiTheme="minorHAnsi" w:hAnsiTheme="minorHAnsi" w:cstheme="minorHAnsi"/>
          <w:sz w:val="22"/>
          <w:szCs w:val="22"/>
        </w:rPr>
      </w:pPr>
      <w:r w:rsidRPr="00C86FE9">
        <w:rPr>
          <w:rFonts w:asciiTheme="minorHAnsi" w:hAnsiTheme="minorHAnsi" w:cstheme="minorHAnsi"/>
          <w:sz w:val="22"/>
          <w:szCs w:val="22"/>
        </w:rPr>
        <w:t>I – das despesas com pessoal e encargos;</w:t>
      </w:r>
    </w:p>
    <w:p w:rsidR="006F1219" w:rsidRPr="00C86FE9" w:rsidRDefault="006F1219" w:rsidP="006F1219">
      <w:pPr>
        <w:pStyle w:val="bodytext2"/>
        <w:ind w:left="851" w:firstLine="49"/>
        <w:jc w:val="both"/>
        <w:rPr>
          <w:rFonts w:asciiTheme="minorHAnsi" w:hAnsiTheme="minorHAnsi" w:cstheme="minorHAnsi"/>
          <w:sz w:val="22"/>
          <w:szCs w:val="22"/>
        </w:rPr>
      </w:pPr>
      <w:r w:rsidRPr="00C86FE9">
        <w:rPr>
          <w:rFonts w:asciiTheme="minorHAnsi" w:hAnsiTheme="minorHAnsi" w:cstheme="minorHAnsi"/>
          <w:sz w:val="22"/>
          <w:szCs w:val="22"/>
        </w:rPr>
        <w:t>II – das despesas necessárias para o atendimento à saúde da população e ao atendimento do mínimo constitucional na manutenção e desenvolvimento do ensino;</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Na hipótese da ocorrência do disposto no </w:t>
      </w:r>
      <w:r w:rsidRPr="00C86FE9">
        <w:rPr>
          <w:rFonts w:asciiTheme="minorHAnsi" w:hAnsiTheme="minorHAnsi" w:cstheme="minorHAnsi"/>
          <w:i/>
          <w:iCs/>
          <w:sz w:val="22"/>
          <w:szCs w:val="22"/>
        </w:rPr>
        <w:t>caput</w:t>
      </w:r>
      <w:r w:rsidRPr="00C86FE9">
        <w:rPr>
          <w:rFonts w:asciiTheme="minorHAnsi" w:hAnsiTheme="minorHAnsi" w:cstheme="minorHAnsi"/>
          <w:sz w:val="22"/>
          <w:szCs w:val="22"/>
        </w:rPr>
        <w:t xml:space="preserve"> deste artigo, o Poder Executivo comunicará ao Legislativo, até o vigésimo dia do mês </w:t>
      </w:r>
      <w:proofErr w:type="spellStart"/>
      <w:r w:rsidRPr="00C86FE9">
        <w:rPr>
          <w:rFonts w:asciiTheme="minorHAnsi" w:hAnsiTheme="minorHAnsi" w:cstheme="minorHAnsi"/>
          <w:sz w:val="22"/>
          <w:szCs w:val="22"/>
        </w:rPr>
        <w:t>subseqüente</w:t>
      </w:r>
      <w:proofErr w:type="spellEnd"/>
      <w:r w:rsidRPr="00C86FE9">
        <w:rPr>
          <w:rFonts w:asciiTheme="minorHAnsi" w:hAnsiTheme="minorHAnsi" w:cstheme="minorHAnsi"/>
          <w:sz w:val="22"/>
          <w:szCs w:val="22"/>
        </w:rPr>
        <w:t xml:space="preserve"> ao final do bimestre, acompanhado dos parâmetros adotados e das estimativas de receitas e despesas, o montante que caberá a cada um na limitação do empenho e da movimentação financeira.</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4</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O Legislativo, com base na comunicação de que trata o parágrafo anterior publicará ato, até o final do mês em que ocorreu a comunicação, estabelecendo os montantes a serem limitados de empenho e movimentação financeira.</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5</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Não ocorrendo à limitação de empenho e movimentação financeira de que trata este artigo, fica a cargo da coordenação do sistema de controle interno a comunicação ao Tribunal de Contas do Estado, conforme atribuição prevista no art. 59, caput e inciso I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e art. 74, § 1</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da Constituição da República.</w:t>
      </w:r>
    </w:p>
    <w:p w:rsidR="006F1219" w:rsidRPr="00C86FE9" w:rsidRDefault="006F1219" w:rsidP="006F1219">
      <w:pPr>
        <w:pStyle w:val="bodytext2"/>
        <w:jc w:val="both"/>
        <w:rPr>
          <w:rFonts w:asciiTheme="minorHAnsi" w:hAnsiTheme="minorHAnsi" w:cstheme="minorHAnsi"/>
          <w:sz w:val="22"/>
          <w:szCs w:val="22"/>
        </w:rPr>
      </w:pPr>
      <w:r w:rsidRPr="00C86FE9">
        <w:rPr>
          <w:rFonts w:asciiTheme="minorHAnsi" w:hAnsiTheme="minorHAnsi" w:cstheme="minorHAnsi"/>
          <w:sz w:val="22"/>
          <w:szCs w:val="22"/>
        </w:rPr>
        <w:t>§ 6</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Cessada a causa da limitação referida neste artigo, ainda que parcial, a recomposição das dotações cujos empenhos foram limitados serão de forma proporcional às reduções efetivadas.</w:t>
      </w:r>
    </w:p>
    <w:p w:rsidR="006F1219" w:rsidRPr="00C86FE9" w:rsidRDefault="006F1219" w:rsidP="006F1219">
      <w:pPr>
        <w:pStyle w:val="Ttulo4"/>
        <w:spacing w:before="100" w:beforeAutospacing="1" w:after="100" w:afterAutospacing="1"/>
        <w:rPr>
          <w:rFonts w:asciiTheme="minorHAnsi" w:hAnsiTheme="minorHAnsi" w:cstheme="minorHAnsi"/>
          <w:bCs w:val="0"/>
          <w:sz w:val="22"/>
          <w:szCs w:val="22"/>
        </w:rPr>
      </w:pPr>
      <w:r w:rsidRPr="00C86FE9">
        <w:rPr>
          <w:rFonts w:asciiTheme="minorHAnsi" w:hAnsiTheme="minorHAnsi" w:cstheme="minorHAnsi"/>
          <w:bCs w:val="0"/>
          <w:sz w:val="22"/>
          <w:szCs w:val="22"/>
        </w:rPr>
        <w:t>CAPÍTULO VII</w:t>
      </w:r>
    </w:p>
    <w:p w:rsidR="006F1219" w:rsidRPr="00C86FE9" w:rsidRDefault="006F1219" w:rsidP="006F1219">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DAS DISPOSIÇÕES FINAIS</w:t>
      </w:r>
    </w:p>
    <w:p w:rsidR="006F1219" w:rsidRPr="00C86FE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34. O Poder Executivo e Legislativo manterão sistema integrado de execução, fiscalização e acompanhamento do orçamento que permita o cumprimento do art. 166, § 1</w:t>
      </w:r>
      <w:r w:rsidRPr="00C86FE9">
        <w:rPr>
          <w:rFonts w:asciiTheme="minorHAnsi" w:hAnsiTheme="minorHAnsi" w:cstheme="minorHAnsi"/>
          <w:u w:val="single"/>
          <w:vertAlign w:val="superscript"/>
        </w:rPr>
        <w:t>o</w:t>
      </w:r>
      <w:r w:rsidRPr="00C86FE9">
        <w:rPr>
          <w:rFonts w:asciiTheme="minorHAnsi" w:hAnsiTheme="minorHAnsi" w:cstheme="minorHAnsi"/>
        </w:rPr>
        <w:t>, II da Constituição da República e art. 48, §6º da LC nº 101.</w:t>
      </w:r>
    </w:p>
    <w:p w:rsidR="006F1219" w:rsidRPr="00C86FE9" w:rsidRDefault="006F1219" w:rsidP="006F1219">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35. Para fins de cumprimento do art. 62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o Município poderá contribuir com despesas de custeio de outro ente da federação, de forma motivada em projeto de lei para cada específico.</w:t>
      </w:r>
    </w:p>
    <w:p w:rsidR="006F1219" w:rsidRDefault="006F1219" w:rsidP="006F1219">
      <w:pPr>
        <w:autoSpaceDE w:val="0"/>
        <w:autoSpaceDN w:val="0"/>
        <w:adjustRightInd w:val="0"/>
        <w:spacing w:before="100" w:beforeAutospacing="1" w:after="100" w:afterAutospacing="1"/>
        <w:jc w:val="both"/>
        <w:rPr>
          <w:rFonts w:asciiTheme="minorHAnsi" w:hAnsiTheme="minorHAnsi" w:cstheme="minorHAnsi"/>
        </w:rPr>
      </w:pPr>
      <w:r w:rsidRPr="00C86FE9">
        <w:rPr>
          <w:rFonts w:asciiTheme="minorHAnsi" w:hAnsiTheme="minorHAnsi" w:cstheme="minorHAnsi"/>
        </w:rPr>
        <w:t>Art. 36. Se o projeto de lei orçamentária não for publicado até 31 de dezembro de 2018, até que isto ocorra, a programação dele constante poderá ser executada para o atendimento de despesas correntes da Administração do Poder Executivo e Legislativo, bem como das entidades da Administração Indireta, nos limites estritamente necessários para a manutenção dos serviços essenciais e que estejam contemplados nas ações de que trata esta Lei.</w:t>
      </w:r>
    </w:p>
    <w:p w:rsidR="004039DB" w:rsidRDefault="004039DB" w:rsidP="006F1219">
      <w:pPr>
        <w:autoSpaceDE w:val="0"/>
        <w:autoSpaceDN w:val="0"/>
        <w:adjustRightInd w:val="0"/>
        <w:spacing w:before="100" w:beforeAutospacing="1" w:after="100" w:afterAutospacing="1"/>
        <w:jc w:val="both"/>
        <w:rPr>
          <w:rFonts w:asciiTheme="minorHAnsi" w:hAnsiTheme="minorHAnsi" w:cstheme="minorHAnsi"/>
        </w:rPr>
      </w:pPr>
    </w:p>
    <w:p w:rsidR="004039DB" w:rsidRPr="00C86FE9" w:rsidRDefault="004039DB" w:rsidP="006F1219">
      <w:pPr>
        <w:autoSpaceDE w:val="0"/>
        <w:autoSpaceDN w:val="0"/>
        <w:adjustRightInd w:val="0"/>
        <w:spacing w:before="100" w:beforeAutospacing="1" w:after="100" w:afterAutospacing="1"/>
        <w:jc w:val="both"/>
        <w:rPr>
          <w:rFonts w:asciiTheme="minorHAnsi" w:hAnsiTheme="minorHAnsi" w:cstheme="minorHAnsi"/>
        </w:rPr>
      </w:pPr>
    </w:p>
    <w:p w:rsidR="006F1219" w:rsidRDefault="006F1219" w:rsidP="006F1219">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37. Esta Lei entra em vigor na data de sua publicação.</w:t>
      </w:r>
    </w:p>
    <w:p w:rsidR="004039DB" w:rsidRPr="00C86FE9" w:rsidRDefault="004039DB" w:rsidP="006F1219">
      <w:pPr>
        <w:spacing w:before="100" w:beforeAutospacing="1" w:after="100" w:afterAutospacing="1"/>
        <w:jc w:val="both"/>
        <w:rPr>
          <w:rFonts w:asciiTheme="minorHAnsi" w:hAnsiTheme="minorHAnsi" w:cstheme="minorHAnsi"/>
          <w:lang w:eastAsia="pt-BR"/>
        </w:rPr>
      </w:pPr>
    </w:p>
    <w:p w:rsidR="00A019C6" w:rsidRDefault="00A019C6" w:rsidP="006F1219">
      <w:pPr>
        <w:rPr>
          <w:rFonts w:asciiTheme="minorHAnsi" w:hAnsiTheme="minorHAnsi" w:cstheme="minorHAnsi"/>
        </w:rPr>
      </w:pPr>
    </w:p>
    <w:p w:rsidR="00A019C6" w:rsidRPr="00C86FE9" w:rsidRDefault="00A019C6" w:rsidP="00A019C6">
      <w:pPr>
        <w:ind w:firstLine="708"/>
        <w:rPr>
          <w:rFonts w:asciiTheme="minorHAnsi" w:hAnsiTheme="minorHAnsi" w:cstheme="minorHAnsi"/>
        </w:rPr>
      </w:pPr>
      <w:r w:rsidRPr="00334745">
        <w:rPr>
          <w:rFonts w:cstheme="minorHAnsi"/>
        </w:rPr>
        <w:t xml:space="preserve">GABINETE DO PREFEITO </w:t>
      </w:r>
      <w:r>
        <w:rPr>
          <w:rFonts w:cstheme="minorHAnsi"/>
        </w:rPr>
        <w:t xml:space="preserve">MUNICIPAL DE </w:t>
      </w:r>
      <w:r>
        <w:rPr>
          <w:rFonts w:cstheme="minorHAnsi"/>
        </w:rPr>
        <w:t>SALVADOR DO SUL, 17</w:t>
      </w:r>
      <w:r w:rsidRPr="00334745">
        <w:rPr>
          <w:rFonts w:cstheme="minorHAnsi"/>
        </w:rPr>
        <w:t xml:space="preserve"> DE </w:t>
      </w:r>
      <w:r>
        <w:rPr>
          <w:rFonts w:cstheme="minorHAnsi"/>
        </w:rPr>
        <w:t>OUTUBRO</w:t>
      </w:r>
      <w:r w:rsidRPr="00334745">
        <w:rPr>
          <w:rFonts w:cstheme="minorHAnsi"/>
        </w:rPr>
        <w:t xml:space="preserve"> DE 2018.</w:t>
      </w:r>
    </w:p>
    <w:p w:rsidR="003F03DF" w:rsidRDefault="006F1219" w:rsidP="006F1219">
      <w:pPr>
        <w:spacing w:after="0"/>
        <w:jc w:val="center"/>
        <w:rPr>
          <w:rFonts w:asciiTheme="minorHAnsi" w:hAnsiTheme="minorHAnsi" w:cstheme="minorHAnsi"/>
        </w:rPr>
      </w:pPr>
      <w:r w:rsidRPr="00C86FE9">
        <w:rPr>
          <w:rFonts w:asciiTheme="minorHAnsi" w:hAnsiTheme="minorHAnsi" w:cstheme="minorHAnsi"/>
        </w:rPr>
        <w:t xml:space="preserve">   </w:t>
      </w:r>
    </w:p>
    <w:p w:rsidR="003F03DF" w:rsidRDefault="003F03DF" w:rsidP="006F1219">
      <w:pPr>
        <w:spacing w:after="0"/>
        <w:jc w:val="center"/>
        <w:rPr>
          <w:rFonts w:asciiTheme="minorHAnsi" w:hAnsiTheme="minorHAnsi" w:cstheme="minorHAnsi"/>
        </w:rPr>
      </w:pPr>
    </w:p>
    <w:p w:rsidR="003F03DF" w:rsidRDefault="003F03DF" w:rsidP="006F1219">
      <w:pPr>
        <w:spacing w:after="0"/>
        <w:jc w:val="center"/>
        <w:rPr>
          <w:rFonts w:asciiTheme="minorHAnsi" w:hAnsiTheme="minorHAnsi" w:cstheme="minorHAnsi"/>
        </w:rPr>
      </w:pPr>
    </w:p>
    <w:p w:rsidR="004039DB" w:rsidRDefault="004039DB" w:rsidP="006F1219">
      <w:pPr>
        <w:spacing w:after="0"/>
        <w:jc w:val="center"/>
        <w:rPr>
          <w:rFonts w:asciiTheme="minorHAnsi" w:hAnsiTheme="minorHAnsi" w:cstheme="minorHAnsi"/>
        </w:rPr>
      </w:pPr>
      <w:bookmarkStart w:id="0" w:name="_GoBack"/>
      <w:bookmarkEnd w:id="0"/>
    </w:p>
    <w:p w:rsidR="003F03DF" w:rsidRDefault="003F03DF" w:rsidP="006F1219">
      <w:pPr>
        <w:spacing w:after="0"/>
        <w:jc w:val="center"/>
        <w:rPr>
          <w:rFonts w:asciiTheme="minorHAnsi" w:hAnsiTheme="minorHAnsi" w:cstheme="minorHAnsi"/>
        </w:rPr>
      </w:pPr>
    </w:p>
    <w:p w:rsidR="006F1219" w:rsidRPr="00C86FE9" w:rsidRDefault="006F1219" w:rsidP="006F1219">
      <w:pPr>
        <w:spacing w:after="0"/>
        <w:jc w:val="center"/>
        <w:rPr>
          <w:rFonts w:asciiTheme="minorHAnsi" w:hAnsiTheme="minorHAnsi" w:cstheme="minorHAnsi"/>
        </w:rPr>
      </w:pPr>
      <w:r w:rsidRPr="00C86FE9">
        <w:rPr>
          <w:rFonts w:asciiTheme="minorHAnsi" w:hAnsiTheme="minorHAnsi" w:cstheme="minorHAnsi"/>
        </w:rPr>
        <w:t xml:space="preserve">     MARCO AURÉLIO ECKERT</w:t>
      </w:r>
    </w:p>
    <w:p w:rsidR="006F1219" w:rsidRDefault="006F1219" w:rsidP="006F1219">
      <w:pPr>
        <w:spacing w:after="0"/>
        <w:jc w:val="center"/>
        <w:rPr>
          <w:rFonts w:asciiTheme="minorHAnsi" w:hAnsiTheme="minorHAnsi" w:cstheme="minorHAnsi"/>
        </w:rPr>
      </w:pPr>
      <w:r w:rsidRPr="00C86FE9">
        <w:rPr>
          <w:rFonts w:asciiTheme="minorHAnsi" w:hAnsiTheme="minorHAnsi" w:cstheme="minorHAnsi"/>
        </w:rPr>
        <w:t xml:space="preserve">         Prefeito Municipal</w:t>
      </w:r>
    </w:p>
    <w:p w:rsidR="003F03DF" w:rsidRPr="00C86FE9" w:rsidRDefault="003F03DF" w:rsidP="006F1219">
      <w:pPr>
        <w:spacing w:after="0"/>
        <w:jc w:val="center"/>
        <w:rPr>
          <w:rFonts w:asciiTheme="minorHAnsi" w:hAnsiTheme="minorHAnsi" w:cstheme="minorHAnsi"/>
        </w:rPr>
      </w:pPr>
    </w:p>
    <w:p w:rsidR="00F20A58" w:rsidRDefault="00F20A58"/>
    <w:p w:rsidR="00A019C6" w:rsidRDefault="00A019C6"/>
    <w:p w:rsidR="003F03DF" w:rsidRDefault="003F03DF"/>
    <w:p w:rsidR="003F03DF" w:rsidRPr="00FC41B9" w:rsidRDefault="003F03DF" w:rsidP="003F03DF">
      <w:pPr>
        <w:pStyle w:val="SemEspaamento"/>
        <w:rPr>
          <w:rFonts w:cs="Calibri"/>
        </w:rPr>
      </w:pPr>
      <w:r w:rsidRPr="00FC41B9">
        <w:rPr>
          <w:rFonts w:cs="Calibri"/>
        </w:rPr>
        <w:t>Registre-se e publique-se:</w:t>
      </w:r>
    </w:p>
    <w:p w:rsidR="003F03DF" w:rsidRPr="00FC41B9" w:rsidRDefault="003F03DF" w:rsidP="003F03DF">
      <w:pPr>
        <w:pStyle w:val="SemEspaamento"/>
        <w:rPr>
          <w:rFonts w:cs="Calibri"/>
        </w:rPr>
      </w:pPr>
      <w:r w:rsidRPr="00FC41B9">
        <w:rPr>
          <w:rFonts w:cs="Calibri"/>
        </w:rPr>
        <w:t xml:space="preserve">Jose Fernando </w:t>
      </w:r>
      <w:proofErr w:type="spellStart"/>
      <w:r w:rsidRPr="00FC41B9">
        <w:rPr>
          <w:rFonts w:cs="Calibri"/>
        </w:rPr>
        <w:t>Lunckes</w:t>
      </w:r>
      <w:proofErr w:type="spellEnd"/>
      <w:r w:rsidRPr="00FC41B9">
        <w:rPr>
          <w:rFonts w:cs="Calibri"/>
        </w:rPr>
        <w:t xml:space="preserve"> </w:t>
      </w:r>
    </w:p>
    <w:p w:rsidR="003F03DF" w:rsidRPr="00FC41B9" w:rsidRDefault="003F03DF" w:rsidP="003F03DF">
      <w:pPr>
        <w:jc w:val="both"/>
        <w:rPr>
          <w:rFonts w:asciiTheme="minorHAnsi" w:hAnsiTheme="minorHAnsi" w:cs="Arial"/>
        </w:rPr>
      </w:pPr>
      <w:r w:rsidRPr="00FC41B9">
        <w:rPr>
          <w:rFonts w:asciiTheme="minorHAnsi" w:hAnsiTheme="minorHAnsi"/>
        </w:rPr>
        <w:t>Secretário Municipal da Administração</w:t>
      </w:r>
    </w:p>
    <w:p w:rsidR="00A019C6" w:rsidRDefault="00A019C6"/>
    <w:p w:rsidR="00A019C6" w:rsidRDefault="00A019C6"/>
    <w:sectPr w:rsidR="00A019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C0F"/>
    <w:multiLevelType w:val="hybridMultilevel"/>
    <w:tmpl w:val="FEBE7924"/>
    <w:lvl w:ilvl="0" w:tplc="D188FBCA">
      <w:start w:val="1"/>
      <w:numFmt w:val="lowerLetter"/>
      <w:lvlText w:val="%1)"/>
      <w:lvlJc w:val="left"/>
      <w:pPr>
        <w:tabs>
          <w:tab w:val="num" w:pos="1069"/>
        </w:tabs>
        <w:ind w:left="1069" w:hanging="36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1">
    <w:nsid w:val="11FF0731"/>
    <w:multiLevelType w:val="hybridMultilevel"/>
    <w:tmpl w:val="4BC64CBE"/>
    <w:lvl w:ilvl="0" w:tplc="0BDC6A36">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2A622AE1"/>
    <w:multiLevelType w:val="hybridMultilevel"/>
    <w:tmpl w:val="06903F38"/>
    <w:lvl w:ilvl="0" w:tplc="CF84AEBC">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
    <w:nsid w:val="488D1E3F"/>
    <w:multiLevelType w:val="hybridMultilevel"/>
    <w:tmpl w:val="805A7198"/>
    <w:lvl w:ilvl="0" w:tplc="04160017">
      <w:start w:val="1"/>
      <w:numFmt w:val="lowerLetter"/>
      <w:lvlText w:val="%1)"/>
      <w:lvlJc w:val="left"/>
      <w:pPr>
        <w:tabs>
          <w:tab w:val="num" w:pos="720"/>
        </w:tabs>
        <w:ind w:left="720" w:hanging="360"/>
      </w:pPr>
    </w:lvl>
    <w:lvl w:ilvl="1" w:tplc="73DC59C6">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5A251913"/>
    <w:multiLevelType w:val="hybridMultilevel"/>
    <w:tmpl w:val="1DA23DEA"/>
    <w:lvl w:ilvl="0" w:tplc="04160017">
      <w:start w:val="1"/>
      <w:numFmt w:val="lowerLetter"/>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5">
    <w:nsid w:val="62DE31D6"/>
    <w:multiLevelType w:val="hybridMultilevel"/>
    <w:tmpl w:val="CFFEDD0C"/>
    <w:lvl w:ilvl="0" w:tplc="ACE2D0B2">
      <w:start w:val="1"/>
      <w:numFmt w:val="upperRoman"/>
      <w:lvlText w:val="%1-"/>
      <w:lvlJc w:val="left"/>
      <w:pPr>
        <w:tabs>
          <w:tab w:val="num" w:pos="1429"/>
        </w:tabs>
        <w:ind w:left="1429" w:hanging="72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6">
    <w:nsid w:val="643061C1"/>
    <w:multiLevelType w:val="hybridMultilevel"/>
    <w:tmpl w:val="D01EB3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19"/>
    <w:rsid w:val="0029358B"/>
    <w:rsid w:val="00304A5B"/>
    <w:rsid w:val="003F03DF"/>
    <w:rsid w:val="004039DB"/>
    <w:rsid w:val="00452D5A"/>
    <w:rsid w:val="005122B6"/>
    <w:rsid w:val="00545C35"/>
    <w:rsid w:val="005567F0"/>
    <w:rsid w:val="006F1219"/>
    <w:rsid w:val="00776232"/>
    <w:rsid w:val="007F723C"/>
    <w:rsid w:val="00864106"/>
    <w:rsid w:val="00A019C6"/>
    <w:rsid w:val="00A800EA"/>
    <w:rsid w:val="00B04BD2"/>
    <w:rsid w:val="00B50198"/>
    <w:rsid w:val="00B66B28"/>
    <w:rsid w:val="00C00298"/>
    <w:rsid w:val="00C06E31"/>
    <w:rsid w:val="00D740EE"/>
    <w:rsid w:val="00D80213"/>
    <w:rsid w:val="00DC343C"/>
    <w:rsid w:val="00E1335B"/>
    <w:rsid w:val="00F0511E"/>
    <w:rsid w:val="00F20A58"/>
    <w:rsid w:val="00F81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01E0B-5F06-4B78-9BC2-6D9CBAD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219"/>
    <w:pPr>
      <w:spacing w:after="200" w:line="276" w:lineRule="auto"/>
    </w:pPr>
    <w:rPr>
      <w:rFonts w:ascii="Calibri" w:eastAsia="Calibri" w:hAnsi="Calibri" w:cs="Calibri"/>
    </w:rPr>
  </w:style>
  <w:style w:type="paragraph" w:styleId="Ttulo1">
    <w:name w:val="heading 1"/>
    <w:basedOn w:val="Normal"/>
    <w:link w:val="Ttulo1Char"/>
    <w:qFormat/>
    <w:rsid w:val="006F1219"/>
    <w:pPr>
      <w:spacing w:before="100" w:beforeAutospacing="1" w:after="100" w:afterAutospacing="1" w:line="240" w:lineRule="auto"/>
      <w:outlineLvl w:val="0"/>
    </w:pPr>
    <w:rPr>
      <w:rFonts w:ascii="Arial Unicode MS" w:eastAsia="Arial Unicode MS" w:hAnsi="Arial Unicode MS" w:cs="Arial Unicode MS"/>
      <w:b/>
      <w:bCs/>
      <w:kern w:val="36"/>
      <w:sz w:val="48"/>
      <w:szCs w:val="48"/>
      <w:lang w:eastAsia="pt-BR"/>
    </w:rPr>
  </w:style>
  <w:style w:type="paragraph" w:styleId="Ttulo2">
    <w:name w:val="heading 2"/>
    <w:basedOn w:val="Normal"/>
    <w:next w:val="Normal"/>
    <w:link w:val="Ttulo2Char"/>
    <w:semiHidden/>
    <w:unhideWhenUsed/>
    <w:qFormat/>
    <w:rsid w:val="006F1219"/>
    <w:pPr>
      <w:keepNext/>
      <w:spacing w:after="120" w:line="240" w:lineRule="auto"/>
      <w:jc w:val="center"/>
      <w:outlineLvl w:val="1"/>
    </w:pPr>
    <w:rPr>
      <w:rFonts w:ascii="Times New Roman" w:eastAsia="Times New Roman" w:hAnsi="Times New Roman" w:cs="Times New Roman"/>
      <w:b/>
      <w:bCs/>
      <w:color w:val="FF0000"/>
      <w:sz w:val="24"/>
      <w:szCs w:val="20"/>
      <w:lang w:eastAsia="pt-BR"/>
    </w:rPr>
  </w:style>
  <w:style w:type="paragraph" w:styleId="Ttulo3">
    <w:name w:val="heading 3"/>
    <w:basedOn w:val="Normal"/>
    <w:link w:val="Ttulo3Char"/>
    <w:semiHidden/>
    <w:unhideWhenUsed/>
    <w:qFormat/>
    <w:rsid w:val="006F1219"/>
    <w:pPr>
      <w:spacing w:before="100" w:beforeAutospacing="1" w:after="100" w:afterAutospacing="1" w:line="240" w:lineRule="auto"/>
      <w:outlineLvl w:val="2"/>
    </w:pPr>
    <w:rPr>
      <w:rFonts w:ascii="Arial Unicode MS" w:eastAsia="Arial Unicode MS" w:hAnsi="Arial Unicode MS" w:cs="Arial Unicode MS"/>
      <w:b/>
      <w:bCs/>
      <w:sz w:val="27"/>
      <w:szCs w:val="27"/>
      <w:lang w:eastAsia="pt-BR"/>
    </w:rPr>
  </w:style>
  <w:style w:type="paragraph" w:styleId="Ttulo4">
    <w:name w:val="heading 4"/>
    <w:basedOn w:val="Normal"/>
    <w:next w:val="Normal"/>
    <w:link w:val="Ttulo4Char"/>
    <w:semiHidden/>
    <w:unhideWhenUsed/>
    <w:qFormat/>
    <w:rsid w:val="006F1219"/>
    <w:pPr>
      <w:keepNext/>
      <w:spacing w:after="120" w:line="240" w:lineRule="auto"/>
      <w:jc w:val="center"/>
      <w:outlineLvl w:val="3"/>
    </w:pPr>
    <w:rPr>
      <w:rFonts w:ascii="Times New Roman" w:eastAsia="Times New Roman" w:hAnsi="Times New Roman" w:cs="Times New Roman"/>
      <w:b/>
      <w:bCs/>
      <w:sz w:val="24"/>
      <w:szCs w:val="20"/>
      <w:lang w:eastAsia="pt-BR"/>
    </w:rPr>
  </w:style>
  <w:style w:type="paragraph" w:styleId="Ttulo5">
    <w:name w:val="heading 5"/>
    <w:basedOn w:val="Normal"/>
    <w:next w:val="Normal"/>
    <w:link w:val="Ttulo5Char"/>
    <w:semiHidden/>
    <w:unhideWhenUsed/>
    <w:qFormat/>
    <w:rsid w:val="006F1219"/>
    <w:pPr>
      <w:keepNext/>
      <w:spacing w:after="120" w:line="240" w:lineRule="auto"/>
      <w:ind w:firstLine="709"/>
      <w:jc w:val="center"/>
      <w:outlineLvl w:val="4"/>
    </w:pPr>
    <w:rPr>
      <w:rFonts w:ascii="Times New Roman" w:eastAsia="Times New Roman" w:hAnsi="Times New Roman" w:cs="Times New Roman"/>
      <w:b/>
      <w:bCs/>
      <w:sz w:val="24"/>
      <w:szCs w:val="20"/>
      <w:lang w:eastAsia="pt-BR"/>
    </w:rPr>
  </w:style>
  <w:style w:type="paragraph" w:styleId="Ttulo6">
    <w:name w:val="heading 6"/>
    <w:basedOn w:val="Normal"/>
    <w:link w:val="Ttulo6Char"/>
    <w:semiHidden/>
    <w:unhideWhenUsed/>
    <w:qFormat/>
    <w:rsid w:val="006F1219"/>
    <w:pPr>
      <w:spacing w:before="100" w:beforeAutospacing="1" w:after="100" w:afterAutospacing="1" w:line="240" w:lineRule="auto"/>
      <w:outlineLvl w:val="5"/>
    </w:pPr>
    <w:rPr>
      <w:rFonts w:ascii="Arial Unicode MS" w:eastAsia="Arial Unicode MS" w:hAnsi="Arial Unicode MS" w:cs="Arial Unicode MS"/>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F1219"/>
    <w:rPr>
      <w:rFonts w:ascii="Arial Unicode MS" w:eastAsia="Arial Unicode MS" w:hAnsi="Arial Unicode MS" w:cs="Arial Unicode MS"/>
      <w:b/>
      <w:bCs/>
      <w:kern w:val="36"/>
      <w:sz w:val="48"/>
      <w:szCs w:val="48"/>
      <w:lang w:eastAsia="pt-BR"/>
    </w:rPr>
  </w:style>
  <w:style w:type="character" w:customStyle="1" w:styleId="Ttulo2Char">
    <w:name w:val="Título 2 Char"/>
    <w:basedOn w:val="Fontepargpadro"/>
    <w:link w:val="Ttulo2"/>
    <w:semiHidden/>
    <w:rsid w:val="006F1219"/>
    <w:rPr>
      <w:rFonts w:ascii="Times New Roman" w:eastAsia="Times New Roman" w:hAnsi="Times New Roman" w:cs="Times New Roman"/>
      <w:b/>
      <w:bCs/>
      <w:color w:val="FF0000"/>
      <w:sz w:val="24"/>
      <w:szCs w:val="20"/>
      <w:lang w:eastAsia="pt-BR"/>
    </w:rPr>
  </w:style>
  <w:style w:type="character" w:customStyle="1" w:styleId="Ttulo3Char">
    <w:name w:val="Título 3 Char"/>
    <w:basedOn w:val="Fontepargpadro"/>
    <w:link w:val="Ttulo3"/>
    <w:semiHidden/>
    <w:rsid w:val="006F1219"/>
    <w:rPr>
      <w:rFonts w:ascii="Arial Unicode MS" w:eastAsia="Arial Unicode MS" w:hAnsi="Arial Unicode MS" w:cs="Arial Unicode MS"/>
      <w:b/>
      <w:bCs/>
      <w:sz w:val="27"/>
      <w:szCs w:val="27"/>
      <w:lang w:eastAsia="pt-BR"/>
    </w:rPr>
  </w:style>
  <w:style w:type="character" w:customStyle="1" w:styleId="Ttulo4Char">
    <w:name w:val="Título 4 Char"/>
    <w:basedOn w:val="Fontepargpadro"/>
    <w:link w:val="Ttulo4"/>
    <w:semiHidden/>
    <w:rsid w:val="006F1219"/>
    <w:rPr>
      <w:rFonts w:ascii="Times New Roman" w:eastAsia="Times New Roman" w:hAnsi="Times New Roman" w:cs="Times New Roman"/>
      <w:b/>
      <w:bCs/>
      <w:sz w:val="24"/>
      <w:szCs w:val="20"/>
      <w:lang w:eastAsia="pt-BR"/>
    </w:rPr>
  </w:style>
  <w:style w:type="character" w:customStyle="1" w:styleId="Ttulo5Char">
    <w:name w:val="Título 5 Char"/>
    <w:basedOn w:val="Fontepargpadro"/>
    <w:link w:val="Ttulo5"/>
    <w:semiHidden/>
    <w:rsid w:val="006F1219"/>
    <w:rPr>
      <w:rFonts w:ascii="Times New Roman" w:eastAsia="Times New Roman" w:hAnsi="Times New Roman" w:cs="Times New Roman"/>
      <w:b/>
      <w:bCs/>
      <w:sz w:val="24"/>
      <w:szCs w:val="20"/>
      <w:lang w:eastAsia="pt-BR"/>
    </w:rPr>
  </w:style>
  <w:style w:type="character" w:customStyle="1" w:styleId="Ttulo6Char">
    <w:name w:val="Título 6 Char"/>
    <w:basedOn w:val="Fontepargpadro"/>
    <w:link w:val="Ttulo6"/>
    <w:semiHidden/>
    <w:rsid w:val="006F1219"/>
    <w:rPr>
      <w:rFonts w:ascii="Arial Unicode MS" w:eastAsia="Arial Unicode MS" w:hAnsi="Arial Unicode MS" w:cs="Arial Unicode MS"/>
      <w:b/>
      <w:bCs/>
      <w:sz w:val="15"/>
      <w:szCs w:val="15"/>
      <w:lang w:eastAsia="pt-BR"/>
    </w:rPr>
  </w:style>
  <w:style w:type="paragraph" w:styleId="Recuodecorpodetexto">
    <w:name w:val="Body Text Indent"/>
    <w:basedOn w:val="Normal"/>
    <w:link w:val="RecuodecorpodetextoChar"/>
    <w:unhideWhenUsed/>
    <w:rsid w:val="006F1219"/>
    <w:pPr>
      <w:spacing w:before="120" w:after="0" w:line="240" w:lineRule="auto"/>
      <w:ind w:firstLine="709"/>
    </w:pPr>
    <w:rPr>
      <w:rFonts w:ascii="Arial" w:eastAsia="Times New Roman" w:hAnsi="Arial" w:cs="Arial"/>
      <w:sz w:val="20"/>
      <w:szCs w:val="24"/>
      <w:lang w:eastAsia="pt-BR"/>
    </w:rPr>
  </w:style>
  <w:style w:type="character" w:customStyle="1" w:styleId="RecuodecorpodetextoChar">
    <w:name w:val="Recuo de corpo de texto Char"/>
    <w:basedOn w:val="Fontepargpadro"/>
    <w:link w:val="Recuodecorpodetexto"/>
    <w:rsid w:val="006F1219"/>
    <w:rPr>
      <w:rFonts w:ascii="Arial" w:eastAsia="Times New Roman" w:hAnsi="Arial" w:cs="Arial"/>
      <w:sz w:val="20"/>
      <w:szCs w:val="24"/>
      <w:lang w:eastAsia="pt-BR"/>
    </w:rPr>
  </w:style>
  <w:style w:type="paragraph" w:styleId="Corpodetexto2">
    <w:name w:val="Body Text 2"/>
    <w:basedOn w:val="Normal"/>
    <w:link w:val="Corpodetexto2Char"/>
    <w:semiHidden/>
    <w:unhideWhenUsed/>
    <w:rsid w:val="006F1219"/>
    <w:pPr>
      <w:spacing w:after="0" w:line="240" w:lineRule="auto"/>
      <w:jc w:val="both"/>
    </w:pPr>
    <w:rPr>
      <w:rFonts w:ascii="Arial" w:eastAsia="Times New Roman" w:hAnsi="Arial" w:cs="Times New Roman"/>
      <w:b/>
      <w:sz w:val="20"/>
      <w:szCs w:val="20"/>
      <w:lang w:eastAsia="pt-BR"/>
    </w:rPr>
  </w:style>
  <w:style w:type="character" w:customStyle="1" w:styleId="Corpodetexto2Char">
    <w:name w:val="Corpo de texto 2 Char"/>
    <w:basedOn w:val="Fontepargpadro"/>
    <w:link w:val="Corpodetexto2"/>
    <w:semiHidden/>
    <w:rsid w:val="006F1219"/>
    <w:rPr>
      <w:rFonts w:ascii="Arial" w:eastAsia="Times New Roman" w:hAnsi="Arial" w:cs="Times New Roman"/>
      <w:b/>
      <w:sz w:val="20"/>
      <w:szCs w:val="20"/>
      <w:lang w:eastAsia="pt-BR"/>
    </w:rPr>
  </w:style>
  <w:style w:type="paragraph" w:styleId="Corpodetexto3">
    <w:name w:val="Body Text 3"/>
    <w:basedOn w:val="Normal"/>
    <w:link w:val="Corpodetexto3Char"/>
    <w:unhideWhenUsed/>
    <w:rsid w:val="006F1219"/>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Corpodetexto3Char">
    <w:name w:val="Corpo de texto 3 Char"/>
    <w:basedOn w:val="Fontepargpadro"/>
    <w:link w:val="Corpodetexto3"/>
    <w:rsid w:val="006F1219"/>
    <w:rPr>
      <w:rFonts w:ascii="Arial Unicode MS" w:eastAsia="Arial Unicode MS" w:hAnsi="Arial Unicode MS" w:cs="Arial Unicode MS"/>
      <w:sz w:val="24"/>
      <w:szCs w:val="24"/>
      <w:lang w:eastAsia="pt-BR"/>
    </w:rPr>
  </w:style>
  <w:style w:type="paragraph" w:customStyle="1" w:styleId="bodytext2">
    <w:name w:val="bodytext2"/>
    <w:basedOn w:val="Normal"/>
    <w:rsid w:val="006F1219"/>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st">
    <w:name w:val="st"/>
    <w:rsid w:val="006F1219"/>
  </w:style>
  <w:style w:type="paragraph" w:styleId="NormalWeb">
    <w:name w:val="Normal (Web)"/>
    <w:basedOn w:val="Normal"/>
    <w:unhideWhenUsed/>
    <w:rsid w:val="00A800E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SemEspaamento">
    <w:name w:val="No Spacing"/>
    <w:uiPriority w:val="1"/>
    <w:qFormat/>
    <w:rsid w:val="003F03DF"/>
    <w:pPr>
      <w:spacing w:after="0" w:line="240" w:lineRule="auto"/>
    </w:pPr>
  </w:style>
  <w:style w:type="paragraph" w:styleId="PargrafodaLista">
    <w:name w:val="List Paragraph"/>
    <w:basedOn w:val="Normal"/>
    <w:uiPriority w:val="34"/>
    <w:qFormat/>
    <w:rsid w:val="00D74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3722</Words>
  <Characters>20104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26</cp:revision>
  <dcterms:created xsi:type="dcterms:W3CDTF">2018-10-17T12:55:00Z</dcterms:created>
  <dcterms:modified xsi:type="dcterms:W3CDTF">2018-10-17T13:18:00Z</dcterms:modified>
</cp:coreProperties>
</file>