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19B" w:rsidRDefault="00BA719B" w:rsidP="003C1226">
      <w:pPr>
        <w:jc w:val="center"/>
        <w:rPr>
          <w:rFonts w:cstheme="minorHAnsi"/>
          <w:b/>
        </w:rPr>
      </w:pPr>
    </w:p>
    <w:p w:rsidR="00BA719B" w:rsidRDefault="00BA719B" w:rsidP="003C1226">
      <w:pPr>
        <w:jc w:val="center"/>
        <w:rPr>
          <w:rFonts w:cstheme="minorHAnsi"/>
          <w:b/>
        </w:rPr>
      </w:pPr>
    </w:p>
    <w:p w:rsidR="00BA719B" w:rsidRDefault="00BA719B" w:rsidP="003C1226">
      <w:pPr>
        <w:jc w:val="center"/>
        <w:rPr>
          <w:rFonts w:cstheme="minorHAnsi"/>
          <w:b/>
        </w:rPr>
      </w:pPr>
    </w:p>
    <w:p w:rsidR="003C1226" w:rsidRDefault="00A93CDF" w:rsidP="003C1226">
      <w:pPr>
        <w:jc w:val="center"/>
        <w:rPr>
          <w:rFonts w:cstheme="minorHAnsi"/>
          <w:b/>
        </w:rPr>
      </w:pPr>
      <w:r>
        <w:rPr>
          <w:rFonts w:cstheme="minorHAnsi"/>
          <w:b/>
        </w:rPr>
        <w:t>LEI Nº 3325 DE 17</w:t>
      </w:r>
      <w:bookmarkStart w:id="0" w:name="_GoBack"/>
      <w:bookmarkEnd w:id="0"/>
      <w:r w:rsidR="005C3083" w:rsidRPr="005C3083">
        <w:rPr>
          <w:rFonts w:cstheme="minorHAnsi"/>
          <w:b/>
        </w:rPr>
        <w:t xml:space="preserve"> DE OUTUBRO DE 2017.</w:t>
      </w:r>
    </w:p>
    <w:p w:rsidR="003C1226" w:rsidRDefault="003C1226" w:rsidP="003C1226">
      <w:pPr>
        <w:jc w:val="center"/>
        <w:rPr>
          <w:rFonts w:cstheme="minorHAnsi"/>
          <w:b/>
        </w:rPr>
      </w:pPr>
    </w:p>
    <w:p w:rsidR="005C3083" w:rsidRPr="005C3083" w:rsidRDefault="005C3083" w:rsidP="003C1226">
      <w:pPr>
        <w:ind w:left="4245"/>
        <w:jc w:val="both"/>
        <w:rPr>
          <w:rFonts w:cstheme="minorHAnsi"/>
          <w:b/>
        </w:rPr>
      </w:pPr>
      <w:r w:rsidRPr="005C3083">
        <w:rPr>
          <w:rFonts w:cstheme="minorHAnsi"/>
          <w:b/>
        </w:rPr>
        <w:t>Institui o programa de incentivo aos produtores rurais por horas executadas com tratores e implementos agrícolas e dá outras providências.</w:t>
      </w:r>
    </w:p>
    <w:p w:rsidR="005C3083" w:rsidRPr="005C3083" w:rsidRDefault="005C3083" w:rsidP="005C3083">
      <w:pPr>
        <w:spacing w:after="0"/>
        <w:ind w:left="4956"/>
        <w:jc w:val="both"/>
        <w:rPr>
          <w:rFonts w:cstheme="minorHAnsi"/>
          <w:b/>
        </w:rPr>
      </w:pPr>
    </w:p>
    <w:p w:rsidR="005C3083" w:rsidRPr="005C3083" w:rsidRDefault="005C3083" w:rsidP="005C3083">
      <w:pPr>
        <w:jc w:val="both"/>
        <w:rPr>
          <w:rFonts w:cs="Calibri"/>
        </w:rPr>
      </w:pPr>
      <w:r w:rsidRPr="005C3083">
        <w:rPr>
          <w:rFonts w:cs="Calibri"/>
        </w:rPr>
        <w:t xml:space="preserve">Eu, Marco Aurélio </w:t>
      </w:r>
      <w:proofErr w:type="spellStart"/>
      <w:r w:rsidRPr="005C3083">
        <w:rPr>
          <w:rFonts w:cs="Calibri"/>
        </w:rPr>
        <w:t>Eckert</w:t>
      </w:r>
      <w:proofErr w:type="spellEnd"/>
      <w:r w:rsidRPr="005C3083">
        <w:rPr>
          <w:rFonts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5C3083" w:rsidRPr="005C3083" w:rsidRDefault="005C3083" w:rsidP="005C3083">
      <w:pPr>
        <w:pStyle w:val="Recuodecorpodetexto"/>
        <w:spacing w:line="276" w:lineRule="auto"/>
        <w:ind w:left="4956" w:firstLine="6"/>
        <w:jc w:val="both"/>
        <w:rPr>
          <w:rFonts w:asciiTheme="minorHAnsi" w:hAnsiTheme="minorHAnsi" w:cs="Calibri"/>
          <w:b/>
          <w:sz w:val="22"/>
          <w:szCs w:val="22"/>
        </w:rPr>
      </w:pPr>
    </w:p>
    <w:p w:rsidR="005C3083" w:rsidRPr="005C3083" w:rsidRDefault="005C3083" w:rsidP="005C3083">
      <w:pPr>
        <w:pStyle w:val="Recuodecorpodetexto"/>
        <w:spacing w:line="276" w:lineRule="auto"/>
        <w:ind w:left="0"/>
        <w:jc w:val="center"/>
        <w:rPr>
          <w:rFonts w:asciiTheme="minorHAnsi" w:hAnsiTheme="minorHAnsi" w:cs="Calibri"/>
          <w:b/>
          <w:sz w:val="22"/>
          <w:szCs w:val="22"/>
        </w:rPr>
      </w:pPr>
      <w:r w:rsidRPr="005C3083">
        <w:rPr>
          <w:rFonts w:asciiTheme="minorHAnsi" w:hAnsiTheme="minorHAnsi" w:cs="Calibri"/>
          <w:b/>
          <w:sz w:val="22"/>
          <w:szCs w:val="22"/>
        </w:rPr>
        <w:t>LEI</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 xml:space="preserve">Art. 1º Institui o programa de incentivo aos produtores rurais por horas executadas com tratores e implementos agrícolas. </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 xml:space="preserve">Parágrafo Único. O incentivo consiste no pagamento até o limite de 25%, do valor por hora de serviço executado, limitado a 20 horas por propriedade por ano, sendo que, o imposto sobre serviços de qualquer natureza será descontado do beneficiário do incentivo. </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Art. 2º A aprovação do valor dos serviços, com tratores e implementos, bem como os referidos aumentos dar-se-á pelo Conselho Municipal da Agricultura e de Desenvolvimento Rural.</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Art. 3º Somente terá direito ao incentivo de que trata a presente lei, o produtor que tiver aprovado o seu pedido junto à Secretaria da Agricultura e Meio Ambiente.</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Parágrafo Único. Para fazer jus ao incentivo, o produtor deverá possuir talão de produtor com movimentação, comprovando faturamento anual entre R$ 2.000,00 (dois mil reais) e 100.000,00 (cem mil reais) e não possuir débitos com a Municipalidade.</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 xml:space="preserve">Art. 4º O incentivo de que trata esta Lei poderá ser executado por prestadores de </w:t>
      </w:r>
      <w:r w:rsidR="00251791" w:rsidRPr="005C3083">
        <w:rPr>
          <w:rFonts w:cstheme="minorHAnsi"/>
        </w:rPr>
        <w:t>serviços, devidamente</w:t>
      </w:r>
      <w:r w:rsidRPr="005C3083">
        <w:rPr>
          <w:rFonts w:cstheme="minorHAnsi"/>
        </w:rPr>
        <w:t xml:space="preserve"> credenciados na Secretaria Municipal da Agricultura e Meio Ambiente.</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 1º O prestador de serviço tem sua atividade vinculada à autorização e fiscalização da Secretaria Municipal da Agricultura e Meio Ambiente.</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 xml:space="preserve">§ 2º O produtor deverá orientar e acompanhar a execução do serviço conforme sua necessidade. </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 xml:space="preserve">Art. 5º Caberá a Secretaria da Agricultura e Meio Ambiente o acompanhamento do Programa, bem como a elaboração de relatório especificando a natureza dos serviços prestados, o total de horas trabalhadas e/ou quantidades fornecidas de benefícios e a relação dos beneficiários. </w:t>
      </w:r>
    </w:p>
    <w:p w:rsidR="005C3083" w:rsidRDefault="005C3083" w:rsidP="005C3083">
      <w:pPr>
        <w:spacing w:after="0"/>
        <w:jc w:val="both"/>
        <w:rPr>
          <w:rFonts w:cstheme="minorHAnsi"/>
        </w:rPr>
      </w:pPr>
    </w:p>
    <w:p w:rsidR="00251791" w:rsidRDefault="00251791" w:rsidP="005C3083">
      <w:pPr>
        <w:spacing w:after="0"/>
        <w:jc w:val="both"/>
        <w:rPr>
          <w:rFonts w:cstheme="minorHAnsi"/>
        </w:rPr>
      </w:pPr>
    </w:p>
    <w:p w:rsidR="00251791" w:rsidRPr="005C3083" w:rsidRDefault="00251791"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Art. 6º O incentivo de que trata esta lei não exclui os demais previstos na Lei Municipal nº 3308 de 22 de junho de 2017.</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Art. 7º As despesas decorrentes desta Lei correrão por conta de dotações orçamentárias próprias da Secretaria Municipal da Agricultura e Meio Ambiente.</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Art. 8º Revogam-se:</w:t>
      </w:r>
    </w:p>
    <w:p w:rsidR="005C3083" w:rsidRPr="005C3083" w:rsidRDefault="005C3083" w:rsidP="005C3083">
      <w:pPr>
        <w:spacing w:after="0"/>
        <w:jc w:val="both"/>
        <w:rPr>
          <w:rFonts w:cstheme="minorHAnsi"/>
        </w:rPr>
      </w:pPr>
      <w:r w:rsidRPr="005C3083">
        <w:rPr>
          <w:rFonts w:cstheme="minorHAnsi"/>
        </w:rPr>
        <w:t>I - Lei Municipal nº 2531 de 21 de março de 2005;</w:t>
      </w:r>
    </w:p>
    <w:p w:rsidR="005C3083" w:rsidRPr="005C3083" w:rsidRDefault="005C3083" w:rsidP="005C3083">
      <w:pPr>
        <w:spacing w:after="0"/>
        <w:jc w:val="both"/>
        <w:rPr>
          <w:rFonts w:cstheme="minorHAnsi"/>
        </w:rPr>
      </w:pPr>
      <w:r w:rsidRPr="005C3083">
        <w:rPr>
          <w:rFonts w:cstheme="minorHAnsi"/>
        </w:rPr>
        <w:t>II - Lei Municipal nº 3130 de 08 de julho de 2014.</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Art. 9º Para efeitos de aplicação desta Lei a implementação do programa para o ano de 2017 fica restrito a quantidade máxima de 300 horas.</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r w:rsidRPr="005C3083">
        <w:rPr>
          <w:rFonts w:cstheme="minorHAnsi"/>
        </w:rPr>
        <w:t>Art. 10. Esta lei entra em vigor na data de sua publicação.</w:t>
      </w: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p>
    <w:p w:rsidR="005C3083" w:rsidRPr="005C3083" w:rsidRDefault="005C3083" w:rsidP="005C3083">
      <w:pPr>
        <w:autoSpaceDE w:val="0"/>
        <w:autoSpaceDN w:val="0"/>
        <w:ind w:firstLine="709"/>
        <w:jc w:val="right"/>
        <w:rPr>
          <w:rFonts w:cs="Arial"/>
        </w:rPr>
      </w:pPr>
    </w:p>
    <w:p w:rsidR="005C3083" w:rsidRPr="005C3083" w:rsidRDefault="005C3083" w:rsidP="005C3083">
      <w:pPr>
        <w:autoSpaceDE w:val="0"/>
        <w:autoSpaceDN w:val="0"/>
        <w:ind w:firstLine="709"/>
        <w:jc w:val="right"/>
        <w:rPr>
          <w:rFonts w:cs="Arial"/>
          <w:lang w:val="pt-PT"/>
        </w:rPr>
      </w:pPr>
      <w:r w:rsidRPr="005C3083">
        <w:rPr>
          <w:rFonts w:cs="Arial"/>
        </w:rPr>
        <w:t>GABINETE DO PREFEITO MUNICIPAL DE SALVADOR DO SUL, 17 DE OUTUBRO DE 2017.</w:t>
      </w:r>
    </w:p>
    <w:p w:rsidR="005C3083" w:rsidRPr="005C3083" w:rsidRDefault="005C3083" w:rsidP="005C3083">
      <w:pPr>
        <w:rPr>
          <w:rFonts w:eastAsia="Times New Roman" w:cs="Arial"/>
          <w:lang w:eastAsia="pt-BR"/>
        </w:rPr>
      </w:pPr>
    </w:p>
    <w:p w:rsidR="005C3083" w:rsidRPr="005C3083" w:rsidRDefault="005C3083" w:rsidP="005C3083">
      <w:pPr>
        <w:rPr>
          <w:rFonts w:eastAsia="Times New Roman" w:cs="Arial"/>
          <w:lang w:eastAsia="pt-BR"/>
        </w:rPr>
      </w:pPr>
    </w:p>
    <w:p w:rsidR="005C3083" w:rsidRPr="005C3083" w:rsidRDefault="005C3083" w:rsidP="005C3083">
      <w:pPr>
        <w:rPr>
          <w:rFonts w:eastAsia="Times New Roman" w:cs="Arial"/>
          <w:lang w:eastAsia="pt-BR"/>
        </w:rPr>
      </w:pPr>
    </w:p>
    <w:p w:rsidR="005C3083" w:rsidRPr="005C3083" w:rsidRDefault="005C3083" w:rsidP="005C3083">
      <w:pPr>
        <w:spacing w:line="240" w:lineRule="auto"/>
        <w:jc w:val="center"/>
        <w:rPr>
          <w:rFonts w:cs="Arial"/>
        </w:rPr>
      </w:pPr>
      <w:r w:rsidRPr="005C3083">
        <w:rPr>
          <w:rFonts w:cs="Arial"/>
        </w:rPr>
        <w:t>MARCO AURÉLIO ECKERT</w:t>
      </w:r>
    </w:p>
    <w:p w:rsidR="005C3083" w:rsidRDefault="005C3083" w:rsidP="005C3083">
      <w:pPr>
        <w:spacing w:line="240" w:lineRule="auto"/>
        <w:jc w:val="center"/>
        <w:rPr>
          <w:rFonts w:cs="Arial"/>
        </w:rPr>
      </w:pPr>
      <w:r w:rsidRPr="005C3083">
        <w:rPr>
          <w:rFonts w:cs="Arial"/>
        </w:rPr>
        <w:t>Prefeito Municipal</w:t>
      </w:r>
    </w:p>
    <w:p w:rsidR="0076792A" w:rsidRDefault="0076792A" w:rsidP="005C3083">
      <w:pPr>
        <w:spacing w:line="240" w:lineRule="auto"/>
        <w:jc w:val="center"/>
        <w:rPr>
          <w:rFonts w:cs="Arial"/>
        </w:rPr>
      </w:pPr>
    </w:p>
    <w:p w:rsidR="0076792A" w:rsidRDefault="0076792A" w:rsidP="005C3083">
      <w:pPr>
        <w:spacing w:line="240" w:lineRule="auto"/>
        <w:jc w:val="center"/>
        <w:rPr>
          <w:rFonts w:cs="Arial"/>
        </w:rPr>
      </w:pPr>
    </w:p>
    <w:p w:rsidR="0076792A" w:rsidRPr="005C3083" w:rsidRDefault="0076792A" w:rsidP="005C3083">
      <w:pPr>
        <w:spacing w:line="240" w:lineRule="auto"/>
        <w:jc w:val="center"/>
        <w:rPr>
          <w:rFonts w:cs="Arial"/>
        </w:rPr>
      </w:pPr>
    </w:p>
    <w:p w:rsidR="005C3083" w:rsidRPr="005C3083" w:rsidRDefault="005C3083" w:rsidP="005C3083">
      <w:pPr>
        <w:spacing w:after="0"/>
        <w:jc w:val="both"/>
        <w:rPr>
          <w:rFonts w:cstheme="minorHAnsi"/>
        </w:rPr>
      </w:pPr>
    </w:p>
    <w:p w:rsidR="005C3083" w:rsidRPr="005C3083" w:rsidRDefault="005C3083" w:rsidP="005C3083">
      <w:pPr>
        <w:spacing w:after="0"/>
        <w:jc w:val="both"/>
        <w:rPr>
          <w:rFonts w:cstheme="minorHAnsi"/>
        </w:rPr>
      </w:pPr>
    </w:p>
    <w:p w:rsidR="005C3083" w:rsidRPr="005C3083" w:rsidRDefault="005C3083" w:rsidP="005C3083">
      <w:pPr>
        <w:pStyle w:val="SemEspaamento"/>
        <w:rPr>
          <w:rFonts w:asciiTheme="minorHAnsi" w:hAnsiTheme="minorHAnsi" w:cs="Calibri"/>
        </w:rPr>
      </w:pPr>
      <w:r w:rsidRPr="005C3083">
        <w:rPr>
          <w:rFonts w:asciiTheme="minorHAnsi" w:hAnsiTheme="minorHAnsi" w:cs="Calibri"/>
        </w:rPr>
        <w:t>Registre-se e publique-se:</w:t>
      </w:r>
    </w:p>
    <w:p w:rsidR="005C3083" w:rsidRPr="005C3083" w:rsidRDefault="005C3083" w:rsidP="005C3083">
      <w:pPr>
        <w:pStyle w:val="SemEspaamento"/>
        <w:rPr>
          <w:rFonts w:asciiTheme="minorHAnsi" w:hAnsiTheme="minorHAnsi" w:cs="Calibri"/>
        </w:rPr>
      </w:pPr>
      <w:r w:rsidRPr="005C3083">
        <w:rPr>
          <w:rFonts w:asciiTheme="minorHAnsi" w:hAnsiTheme="minorHAnsi" w:cs="Calibri"/>
        </w:rPr>
        <w:t xml:space="preserve">Jose Fernando </w:t>
      </w:r>
      <w:proofErr w:type="spellStart"/>
      <w:r w:rsidRPr="005C3083">
        <w:rPr>
          <w:rFonts w:asciiTheme="minorHAnsi" w:hAnsiTheme="minorHAnsi" w:cs="Calibri"/>
        </w:rPr>
        <w:t>Lunckes</w:t>
      </w:r>
      <w:proofErr w:type="spellEnd"/>
      <w:r w:rsidRPr="005C3083">
        <w:rPr>
          <w:rFonts w:asciiTheme="minorHAnsi" w:hAnsiTheme="minorHAnsi" w:cs="Calibri"/>
        </w:rPr>
        <w:t xml:space="preserve"> </w:t>
      </w:r>
    </w:p>
    <w:p w:rsidR="005C3083" w:rsidRPr="005C3083" w:rsidRDefault="005C3083" w:rsidP="005C3083">
      <w:pPr>
        <w:jc w:val="both"/>
        <w:rPr>
          <w:rFonts w:cs="Calibri"/>
        </w:rPr>
      </w:pPr>
      <w:r w:rsidRPr="005C3083">
        <w:rPr>
          <w:rFonts w:cs="Calibri"/>
        </w:rPr>
        <w:t>Secretária Municipal da Administração</w:t>
      </w:r>
    </w:p>
    <w:p w:rsidR="005C3083" w:rsidRPr="005C3083" w:rsidRDefault="005C3083" w:rsidP="005C3083">
      <w:pPr>
        <w:spacing w:line="276" w:lineRule="auto"/>
        <w:ind w:left="2832"/>
        <w:jc w:val="both"/>
        <w:rPr>
          <w:rFonts w:cs="Calibri"/>
        </w:rPr>
      </w:pPr>
    </w:p>
    <w:p w:rsidR="005C3083" w:rsidRDefault="005C3083" w:rsidP="005C3083"/>
    <w:p w:rsidR="005C3083" w:rsidRPr="007A6EB9" w:rsidRDefault="005C3083" w:rsidP="005C3083">
      <w:pPr>
        <w:spacing w:after="0"/>
        <w:jc w:val="both"/>
        <w:rPr>
          <w:rFonts w:cstheme="minorHAnsi"/>
        </w:rPr>
      </w:pPr>
    </w:p>
    <w:p w:rsidR="005C3083" w:rsidRDefault="005C3083" w:rsidP="005C3083">
      <w:pPr>
        <w:spacing w:after="0"/>
        <w:jc w:val="both"/>
        <w:rPr>
          <w:rFonts w:cstheme="minorHAnsi"/>
        </w:rPr>
      </w:pPr>
    </w:p>
    <w:p w:rsidR="005C3083" w:rsidRDefault="005C3083" w:rsidP="005C3083">
      <w:pPr>
        <w:spacing w:after="0"/>
        <w:jc w:val="both"/>
        <w:rPr>
          <w:rFonts w:cstheme="minorHAnsi"/>
        </w:rPr>
      </w:pPr>
    </w:p>
    <w:p w:rsidR="00FA5C23" w:rsidRDefault="00FA5C23"/>
    <w:sectPr w:rsidR="00FA5C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83"/>
    <w:rsid w:val="00251791"/>
    <w:rsid w:val="003C1226"/>
    <w:rsid w:val="005C3083"/>
    <w:rsid w:val="005E6D4C"/>
    <w:rsid w:val="0076792A"/>
    <w:rsid w:val="00A93CDF"/>
    <w:rsid w:val="00BA719B"/>
    <w:rsid w:val="00FA5C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A5B23-AC73-4D5C-B6C5-5A0255FA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08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5C3083"/>
    <w:pPr>
      <w:spacing w:after="0" w:line="240" w:lineRule="auto"/>
      <w:ind w:left="4253"/>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semiHidden/>
    <w:rsid w:val="005C3083"/>
    <w:rPr>
      <w:rFonts w:ascii="Times New Roman" w:eastAsia="Times New Roman" w:hAnsi="Times New Roman" w:cs="Times New Roman"/>
      <w:sz w:val="24"/>
      <w:szCs w:val="20"/>
      <w:lang w:eastAsia="pt-BR"/>
    </w:rPr>
  </w:style>
  <w:style w:type="paragraph" w:styleId="SemEspaamento">
    <w:name w:val="No Spacing"/>
    <w:uiPriority w:val="1"/>
    <w:qFormat/>
    <w:rsid w:val="005C308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462</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8</cp:revision>
  <dcterms:created xsi:type="dcterms:W3CDTF">2017-10-19T11:36:00Z</dcterms:created>
  <dcterms:modified xsi:type="dcterms:W3CDTF">2017-10-20T18:20:00Z</dcterms:modified>
</cp:coreProperties>
</file>