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606" w:rsidRPr="00C32606" w:rsidRDefault="00C32606" w:rsidP="00C32606">
      <w:pPr>
        <w:pStyle w:val="Ttulo"/>
        <w:rPr>
          <w:rFonts w:ascii="Arial" w:hAnsi="Arial"/>
          <w:b/>
          <w:i w:val="0"/>
          <w:sz w:val="24"/>
          <w:szCs w:val="24"/>
        </w:rPr>
      </w:pPr>
      <w:bookmarkStart w:id="0" w:name="_GoBack"/>
      <w:bookmarkEnd w:id="0"/>
      <w:r w:rsidRPr="00C32606">
        <w:rPr>
          <w:rFonts w:ascii="Arial" w:hAnsi="Arial"/>
          <w:b/>
          <w:i w:val="0"/>
          <w:sz w:val="24"/>
          <w:szCs w:val="24"/>
        </w:rPr>
        <w:t>LEI N° 3214, DE 23 DE OUTUBRO DE 2015.</w:t>
      </w:r>
    </w:p>
    <w:p w:rsidR="00C32606" w:rsidRPr="00C32606" w:rsidRDefault="00C32606" w:rsidP="00C32606">
      <w:pPr>
        <w:jc w:val="both"/>
        <w:rPr>
          <w:rFonts w:ascii="Arial" w:hAnsi="Arial"/>
          <w:sz w:val="24"/>
          <w:szCs w:val="24"/>
        </w:rPr>
      </w:pPr>
    </w:p>
    <w:p w:rsidR="00C32606" w:rsidRPr="00C32606" w:rsidRDefault="00C32606" w:rsidP="00C32606">
      <w:pPr>
        <w:jc w:val="both"/>
        <w:rPr>
          <w:rFonts w:ascii="Arial" w:hAnsi="Arial"/>
          <w:sz w:val="24"/>
          <w:szCs w:val="24"/>
        </w:rPr>
      </w:pPr>
    </w:p>
    <w:p w:rsidR="00C32606" w:rsidRPr="00C32606" w:rsidRDefault="00C32606" w:rsidP="00C32606">
      <w:pPr>
        <w:pStyle w:val="Recuodecorpodetexto"/>
        <w:ind w:left="4248" w:firstLine="708"/>
        <w:rPr>
          <w:szCs w:val="24"/>
        </w:rPr>
      </w:pPr>
      <w:r w:rsidRPr="00C32606">
        <w:rPr>
          <w:szCs w:val="24"/>
        </w:rPr>
        <w:t>Estabelece prazos para pagamento do IPTU e da Taxa de Coleta de Lixo, referente ao Exercício de 2016.</w:t>
      </w:r>
    </w:p>
    <w:p w:rsidR="00C32606" w:rsidRPr="00C32606" w:rsidRDefault="00C32606" w:rsidP="00C32606">
      <w:pPr>
        <w:pStyle w:val="Recuodecorpodetexto"/>
        <w:rPr>
          <w:szCs w:val="24"/>
        </w:rPr>
      </w:pPr>
    </w:p>
    <w:p w:rsidR="00C32606" w:rsidRPr="00C32606" w:rsidRDefault="00C32606" w:rsidP="00C32606">
      <w:pPr>
        <w:jc w:val="both"/>
        <w:rPr>
          <w:rFonts w:ascii="Arial" w:hAnsi="Arial" w:cs="Arial"/>
          <w:sz w:val="24"/>
          <w:szCs w:val="24"/>
        </w:rPr>
      </w:pPr>
      <w:r w:rsidRPr="00C32606">
        <w:rPr>
          <w:rFonts w:ascii="Arial" w:hAnsi="Arial" w:cs="Arial"/>
          <w:sz w:val="24"/>
          <w:szCs w:val="24"/>
        </w:rPr>
        <w:t xml:space="preserve">Carla Maria </w:t>
      </w:r>
      <w:proofErr w:type="spellStart"/>
      <w:r w:rsidRPr="00C32606">
        <w:rPr>
          <w:rFonts w:ascii="Arial" w:hAnsi="Arial" w:cs="Arial"/>
          <w:sz w:val="24"/>
          <w:szCs w:val="24"/>
        </w:rPr>
        <w:t>Specht</w:t>
      </w:r>
      <w:proofErr w:type="spellEnd"/>
      <w:r w:rsidRPr="00C32606">
        <w:rPr>
          <w:rFonts w:ascii="Arial" w:hAnsi="Arial" w:cs="Arial"/>
          <w:sz w:val="24"/>
          <w:szCs w:val="24"/>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C32606" w:rsidRPr="00C32606" w:rsidRDefault="00C32606" w:rsidP="00C32606">
      <w:pPr>
        <w:jc w:val="both"/>
        <w:rPr>
          <w:rFonts w:ascii="Arial" w:hAnsi="Arial" w:cs="Arial"/>
          <w:sz w:val="24"/>
          <w:szCs w:val="24"/>
        </w:rPr>
      </w:pPr>
    </w:p>
    <w:p w:rsidR="00C32606" w:rsidRPr="00C32606" w:rsidRDefault="00C32606" w:rsidP="00C32606">
      <w:pPr>
        <w:jc w:val="center"/>
        <w:rPr>
          <w:rFonts w:ascii="Arial" w:hAnsi="Arial" w:cs="Arial"/>
          <w:sz w:val="24"/>
          <w:szCs w:val="24"/>
        </w:rPr>
      </w:pPr>
      <w:r w:rsidRPr="00C32606">
        <w:rPr>
          <w:rFonts w:ascii="Arial" w:hAnsi="Arial" w:cs="Arial"/>
          <w:sz w:val="24"/>
          <w:szCs w:val="24"/>
        </w:rPr>
        <w:t>LEI</w:t>
      </w:r>
    </w:p>
    <w:p w:rsidR="00C32606" w:rsidRPr="00C32606" w:rsidRDefault="00C32606" w:rsidP="00C32606">
      <w:pPr>
        <w:rPr>
          <w:sz w:val="24"/>
          <w:szCs w:val="24"/>
        </w:rPr>
      </w:pPr>
    </w:p>
    <w:p w:rsidR="00C32606" w:rsidRPr="00C32606" w:rsidRDefault="00C32606" w:rsidP="00C32606">
      <w:pPr>
        <w:rPr>
          <w:sz w:val="24"/>
          <w:szCs w:val="24"/>
        </w:rPr>
      </w:pPr>
    </w:p>
    <w:p w:rsidR="00C32606" w:rsidRPr="00C32606" w:rsidRDefault="00C32606" w:rsidP="00C32606">
      <w:pPr>
        <w:pStyle w:val="Recuodecorpodetexto2"/>
        <w:rPr>
          <w:szCs w:val="24"/>
        </w:rPr>
      </w:pPr>
      <w:r w:rsidRPr="00C32606">
        <w:rPr>
          <w:b/>
          <w:szCs w:val="24"/>
        </w:rPr>
        <w:t>Art. 1º -</w:t>
      </w:r>
      <w:r w:rsidRPr="00C32606">
        <w:rPr>
          <w:szCs w:val="24"/>
        </w:rPr>
        <w:t xml:space="preserve"> Ficam estabelecidos os prazos e descontos para o pagamento do IPTU - Imposto Predial e Territorial Urbano e da Taxa de Coleta de Lixo, referente ao exercício de 2016, obedecendo ao seguinte calendário:</w:t>
      </w:r>
    </w:p>
    <w:p w:rsidR="00C32606" w:rsidRPr="00C32606" w:rsidRDefault="00C32606" w:rsidP="00C32606">
      <w:pPr>
        <w:pStyle w:val="Recuodecorpodetexto2"/>
        <w:rPr>
          <w:szCs w:val="24"/>
        </w:rPr>
      </w:pPr>
    </w:p>
    <w:p w:rsidR="00C32606" w:rsidRPr="00C32606" w:rsidRDefault="00C32606" w:rsidP="00C32606">
      <w:pPr>
        <w:pStyle w:val="Recuodecorpodetexto2"/>
        <w:rPr>
          <w:b/>
          <w:szCs w:val="24"/>
        </w:rPr>
      </w:pPr>
      <w:r w:rsidRPr="00C32606">
        <w:rPr>
          <w:b/>
          <w:szCs w:val="24"/>
        </w:rPr>
        <w:t>I – PAGAMENTO EM COTA ÚNICA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536"/>
      </w:tblGrid>
      <w:tr w:rsidR="00C32606" w:rsidRPr="00C32606" w:rsidTr="00C46A48">
        <w:tc>
          <w:tcPr>
            <w:tcW w:w="4606" w:type="dxa"/>
          </w:tcPr>
          <w:p w:rsidR="00C32606" w:rsidRPr="00C32606" w:rsidRDefault="00C32606" w:rsidP="00C46A48">
            <w:pPr>
              <w:jc w:val="center"/>
              <w:rPr>
                <w:rFonts w:ascii="Arial" w:hAnsi="Arial"/>
                <w:b/>
                <w:sz w:val="24"/>
                <w:szCs w:val="24"/>
              </w:rPr>
            </w:pPr>
            <w:r w:rsidRPr="00C32606">
              <w:rPr>
                <w:rFonts w:ascii="Arial" w:hAnsi="Arial"/>
                <w:sz w:val="24"/>
                <w:szCs w:val="24"/>
              </w:rPr>
              <w:tab/>
            </w:r>
            <w:r w:rsidRPr="00C32606">
              <w:rPr>
                <w:rFonts w:ascii="Arial" w:hAnsi="Arial"/>
                <w:b/>
                <w:sz w:val="24"/>
                <w:szCs w:val="24"/>
              </w:rPr>
              <w:t>Data de Vencimento</w:t>
            </w:r>
          </w:p>
        </w:tc>
        <w:tc>
          <w:tcPr>
            <w:tcW w:w="4536" w:type="dxa"/>
          </w:tcPr>
          <w:p w:rsidR="00C32606" w:rsidRPr="00C32606" w:rsidRDefault="00C32606" w:rsidP="00C46A48">
            <w:pPr>
              <w:jc w:val="center"/>
              <w:rPr>
                <w:rFonts w:ascii="Arial" w:hAnsi="Arial"/>
                <w:b/>
                <w:sz w:val="24"/>
                <w:szCs w:val="24"/>
              </w:rPr>
            </w:pPr>
            <w:r w:rsidRPr="00C32606">
              <w:rPr>
                <w:rFonts w:ascii="Arial" w:hAnsi="Arial"/>
                <w:b/>
                <w:sz w:val="24"/>
                <w:szCs w:val="24"/>
              </w:rPr>
              <w:t>Desconto no IPTU</w:t>
            </w:r>
          </w:p>
        </w:tc>
      </w:tr>
      <w:tr w:rsidR="00C32606" w:rsidRPr="00C32606" w:rsidTr="00C46A48">
        <w:tc>
          <w:tcPr>
            <w:tcW w:w="4606" w:type="dxa"/>
          </w:tcPr>
          <w:p w:rsidR="00C32606" w:rsidRPr="00C32606" w:rsidRDefault="00C32606" w:rsidP="00C46A48">
            <w:pPr>
              <w:jc w:val="center"/>
              <w:rPr>
                <w:rFonts w:ascii="Arial" w:hAnsi="Arial"/>
                <w:sz w:val="24"/>
                <w:szCs w:val="24"/>
              </w:rPr>
            </w:pPr>
            <w:r w:rsidRPr="00C32606">
              <w:rPr>
                <w:rFonts w:ascii="Arial" w:hAnsi="Arial"/>
                <w:sz w:val="24"/>
                <w:szCs w:val="24"/>
              </w:rPr>
              <w:t>10/02/2016</w:t>
            </w:r>
          </w:p>
        </w:tc>
        <w:tc>
          <w:tcPr>
            <w:tcW w:w="4536" w:type="dxa"/>
          </w:tcPr>
          <w:p w:rsidR="00C32606" w:rsidRPr="00C32606" w:rsidRDefault="00C32606" w:rsidP="00C46A48">
            <w:pPr>
              <w:rPr>
                <w:rFonts w:ascii="Arial" w:hAnsi="Arial"/>
                <w:sz w:val="24"/>
                <w:szCs w:val="24"/>
              </w:rPr>
            </w:pPr>
            <w:r w:rsidRPr="00C32606">
              <w:rPr>
                <w:rFonts w:ascii="Arial" w:hAnsi="Arial"/>
                <w:sz w:val="24"/>
                <w:szCs w:val="24"/>
              </w:rPr>
              <w:t xml:space="preserve">                 5% (cinco por cento)</w:t>
            </w:r>
          </w:p>
        </w:tc>
      </w:tr>
    </w:tbl>
    <w:p w:rsidR="00C32606" w:rsidRPr="00C32606" w:rsidRDefault="00C32606" w:rsidP="00C32606">
      <w:pPr>
        <w:jc w:val="both"/>
        <w:rPr>
          <w:rFonts w:ascii="Arial" w:hAnsi="Arial"/>
          <w:sz w:val="24"/>
          <w:szCs w:val="24"/>
        </w:rPr>
      </w:pPr>
    </w:p>
    <w:p w:rsidR="00C32606" w:rsidRPr="00C32606" w:rsidRDefault="00C32606" w:rsidP="00C32606">
      <w:pPr>
        <w:jc w:val="both"/>
        <w:rPr>
          <w:rFonts w:ascii="Arial" w:hAnsi="Arial"/>
          <w:b/>
          <w:sz w:val="24"/>
          <w:szCs w:val="24"/>
        </w:rPr>
      </w:pPr>
      <w:r w:rsidRPr="00C32606">
        <w:rPr>
          <w:rFonts w:ascii="Arial" w:hAnsi="Arial"/>
          <w:sz w:val="24"/>
          <w:szCs w:val="24"/>
        </w:rPr>
        <w:tab/>
      </w:r>
      <w:r w:rsidRPr="00C32606">
        <w:rPr>
          <w:rFonts w:ascii="Arial" w:hAnsi="Arial"/>
          <w:b/>
          <w:sz w:val="24"/>
          <w:szCs w:val="24"/>
        </w:rPr>
        <w:t>II – PAGAMENTO PARCELADO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536"/>
      </w:tblGrid>
      <w:tr w:rsidR="00C32606" w:rsidRPr="00C32606" w:rsidTr="00C46A48">
        <w:tc>
          <w:tcPr>
            <w:tcW w:w="4606" w:type="dxa"/>
          </w:tcPr>
          <w:p w:rsidR="00C32606" w:rsidRPr="00C32606" w:rsidRDefault="00C32606" w:rsidP="00C46A48">
            <w:pPr>
              <w:jc w:val="center"/>
              <w:rPr>
                <w:rFonts w:ascii="Arial" w:hAnsi="Arial"/>
                <w:b/>
                <w:sz w:val="24"/>
                <w:szCs w:val="24"/>
              </w:rPr>
            </w:pPr>
            <w:r w:rsidRPr="00C32606">
              <w:rPr>
                <w:rFonts w:ascii="Arial" w:hAnsi="Arial"/>
                <w:b/>
                <w:sz w:val="24"/>
                <w:szCs w:val="24"/>
              </w:rPr>
              <w:t>Parcela</w:t>
            </w:r>
          </w:p>
        </w:tc>
        <w:tc>
          <w:tcPr>
            <w:tcW w:w="4536" w:type="dxa"/>
          </w:tcPr>
          <w:p w:rsidR="00C32606" w:rsidRPr="00C32606" w:rsidRDefault="00C32606" w:rsidP="00C46A48">
            <w:pPr>
              <w:pStyle w:val="Ttulo1"/>
              <w:rPr>
                <w:b/>
                <w:szCs w:val="24"/>
              </w:rPr>
            </w:pPr>
            <w:r w:rsidRPr="00C32606">
              <w:rPr>
                <w:b/>
                <w:szCs w:val="24"/>
              </w:rPr>
              <w:t>Data do Vencimento</w:t>
            </w:r>
          </w:p>
        </w:tc>
      </w:tr>
      <w:tr w:rsidR="00C32606" w:rsidRPr="00C32606" w:rsidTr="00C46A48">
        <w:tc>
          <w:tcPr>
            <w:tcW w:w="4606" w:type="dxa"/>
          </w:tcPr>
          <w:p w:rsidR="00C32606" w:rsidRPr="00C32606" w:rsidRDefault="00C32606" w:rsidP="00C46A48">
            <w:pPr>
              <w:jc w:val="center"/>
              <w:rPr>
                <w:rFonts w:ascii="Arial" w:hAnsi="Arial"/>
                <w:sz w:val="24"/>
                <w:szCs w:val="24"/>
              </w:rPr>
            </w:pPr>
            <w:r w:rsidRPr="00C32606">
              <w:rPr>
                <w:rFonts w:ascii="Arial" w:hAnsi="Arial"/>
                <w:sz w:val="24"/>
                <w:szCs w:val="24"/>
              </w:rPr>
              <w:t>1ª</w:t>
            </w:r>
          </w:p>
        </w:tc>
        <w:tc>
          <w:tcPr>
            <w:tcW w:w="4536" w:type="dxa"/>
          </w:tcPr>
          <w:p w:rsidR="00C32606" w:rsidRPr="00C32606" w:rsidRDefault="00C32606" w:rsidP="00C46A48">
            <w:pPr>
              <w:jc w:val="center"/>
              <w:rPr>
                <w:rFonts w:ascii="Arial" w:hAnsi="Arial"/>
                <w:sz w:val="24"/>
                <w:szCs w:val="24"/>
              </w:rPr>
            </w:pPr>
            <w:r w:rsidRPr="00C32606">
              <w:rPr>
                <w:rFonts w:ascii="Arial" w:hAnsi="Arial"/>
                <w:sz w:val="24"/>
                <w:szCs w:val="24"/>
              </w:rPr>
              <w:t>10/03/2016</w:t>
            </w:r>
          </w:p>
        </w:tc>
      </w:tr>
      <w:tr w:rsidR="00C32606" w:rsidRPr="00C32606" w:rsidTr="00C46A48">
        <w:tc>
          <w:tcPr>
            <w:tcW w:w="4606" w:type="dxa"/>
          </w:tcPr>
          <w:p w:rsidR="00C32606" w:rsidRPr="00C32606" w:rsidRDefault="00C32606" w:rsidP="00C46A48">
            <w:pPr>
              <w:jc w:val="center"/>
              <w:rPr>
                <w:rFonts w:ascii="Arial" w:hAnsi="Arial"/>
                <w:sz w:val="24"/>
                <w:szCs w:val="24"/>
              </w:rPr>
            </w:pPr>
            <w:r w:rsidRPr="00C32606">
              <w:rPr>
                <w:rFonts w:ascii="Arial" w:hAnsi="Arial"/>
                <w:sz w:val="24"/>
                <w:szCs w:val="24"/>
              </w:rPr>
              <w:t>2ª</w:t>
            </w:r>
          </w:p>
        </w:tc>
        <w:tc>
          <w:tcPr>
            <w:tcW w:w="4536" w:type="dxa"/>
          </w:tcPr>
          <w:p w:rsidR="00C32606" w:rsidRPr="00C32606" w:rsidRDefault="00C32606" w:rsidP="00C46A48">
            <w:pPr>
              <w:jc w:val="center"/>
              <w:rPr>
                <w:rFonts w:ascii="Arial" w:hAnsi="Arial"/>
                <w:sz w:val="24"/>
                <w:szCs w:val="24"/>
              </w:rPr>
            </w:pPr>
            <w:r w:rsidRPr="00C32606">
              <w:rPr>
                <w:rFonts w:ascii="Arial" w:hAnsi="Arial"/>
                <w:sz w:val="24"/>
                <w:szCs w:val="24"/>
              </w:rPr>
              <w:t>11/04/2016</w:t>
            </w:r>
          </w:p>
        </w:tc>
      </w:tr>
      <w:tr w:rsidR="00C32606" w:rsidRPr="00C32606" w:rsidTr="00C46A48">
        <w:tc>
          <w:tcPr>
            <w:tcW w:w="4606" w:type="dxa"/>
          </w:tcPr>
          <w:p w:rsidR="00C32606" w:rsidRPr="00C32606" w:rsidRDefault="00C32606" w:rsidP="00C46A48">
            <w:pPr>
              <w:jc w:val="center"/>
              <w:rPr>
                <w:rFonts w:ascii="Arial" w:hAnsi="Arial"/>
                <w:sz w:val="24"/>
                <w:szCs w:val="24"/>
              </w:rPr>
            </w:pPr>
            <w:r w:rsidRPr="00C32606">
              <w:rPr>
                <w:rFonts w:ascii="Arial" w:hAnsi="Arial"/>
                <w:sz w:val="24"/>
                <w:szCs w:val="24"/>
              </w:rPr>
              <w:t>3ª</w:t>
            </w:r>
          </w:p>
        </w:tc>
        <w:tc>
          <w:tcPr>
            <w:tcW w:w="4536" w:type="dxa"/>
          </w:tcPr>
          <w:p w:rsidR="00C32606" w:rsidRPr="00C32606" w:rsidRDefault="00C32606" w:rsidP="00C46A48">
            <w:pPr>
              <w:jc w:val="center"/>
              <w:rPr>
                <w:rFonts w:ascii="Arial" w:hAnsi="Arial"/>
                <w:sz w:val="24"/>
                <w:szCs w:val="24"/>
              </w:rPr>
            </w:pPr>
            <w:r w:rsidRPr="00C32606">
              <w:rPr>
                <w:rFonts w:ascii="Arial" w:hAnsi="Arial"/>
                <w:sz w:val="24"/>
                <w:szCs w:val="24"/>
              </w:rPr>
              <w:t>10/05/2016</w:t>
            </w:r>
          </w:p>
        </w:tc>
      </w:tr>
    </w:tbl>
    <w:p w:rsidR="00C32606" w:rsidRPr="00C32606" w:rsidRDefault="00C32606" w:rsidP="00C32606">
      <w:pPr>
        <w:jc w:val="both"/>
        <w:rPr>
          <w:rFonts w:ascii="Arial" w:hAnsi="Arial"/>
          <w:sz w:val="24"/>
          <w:szCs w:val="24"/>
        </w:rPr>
      </w:pPr>
    </w:p>
    <w:p w:rsidR="00C32606" w:rsidRPr="00C32606" w:rsidRDefault="00C32606" w:rsidP="00C32606">
      <w:pPr>
        <w:jc w:val="both"/>
        <w:rPr>
          <w:rFonts w:ascii="Arial" w:hAnsi="Arial"/>
          <w:sz w:val="24"/>
          <w:szCs w:val="24"/>
        </w:rPr>
      </w:pPr>
    </w:p>
    <w:p w:rsidR="00C32606" w:rsidRPr="00C32606" w:rsidRDefault="00C32606" w:rsidP="00C32606">
      <w:pPr>
        <w:ind w:firstLine="708"/>
        <w:jc w:val="both"/>
        <w:rPr>
          <w:rFonts w:ascii="Arial" w:hAnsi="Arial"/>
          <w:sz w:val="24"/>
          <w:szCs w:val="24"/>
        </w:rPr>
      </w:pPr>
      <w:r w:rsidRPr="00C32606">
        <w:rPr>
          <w:rFonts w:ascii="Arial" w:hAnsi="Arial"/>
          <w:b/>
          <w:sz w:val="24"/>
          <w:szCs w:val="24"/>
        </w:rPr>
        <w:t>Art. 2° -</w:t>
      </w:r>
      <w:r w:rsidRPr="00C32606">
        <w:rPr>
          <w:rFonts w:ascii="Arial" w:hAnsi="Arial"/>
          <w:sz w:val="24"/>
          <w:szCs w:val="24"/>
        </w:rPr>
        <w:t xml:space="preserve"> Esta Lei entra em vigor na data de sua publicação.</w:t>
      </w:r>
    </w:p>
    <w:p w:rsidR="00C32606" w:rsidRPr="00C32606" w:rsidRDefault="00C32606" w:rsidP="00C32606">
      <w:pPr>
        <w:jc w:val="both"/>
        <w:rPr>
          <w:rFonts w:ascii="Arial" w:hAnsi="Arial"/>
          <w:sz w:val="24"/>
          <w:szCs w:val="24"/>
        </w:rPr>
      </w:pPr>
    </w:p>
    <w:p w:rsidR="00C32606" w:rsidRPr="00C32606" w:rsidRDefault="00C32606" w:rsidP="00C32606">
      <w:pPr>
        <w:jc w:val="both"/>
        <w:rPr>
          <w:rFonts w:ascii="Arial" w:hAnsi="Arial"/>
          <w:sz w:val="24"/>
          <w:szCs w:val="24"/>
        </w:rPr>
      </w:pPr>
    </w:p>
    <w:p w:rsidR="00C32606" w:rsidRPr="00C32606" w:rsidRDefault="00C32606" w:rsidP="00C32606">
      <w:pPr>
        <w:ind w:firstLine="708"/>
        <w:jc w:val="both"/>
        <w:rPr>
          <w:rFonts w:ascii="Arial" w:hAnsi="Arial"/>
          <w:sz w:val="24"/>
          <w:szCs w:val="24"/>
        </w:rPr>
      </w:pPr>
      <w:r w:rsidRPr="00C32606">
        <w:rPr>
          <w:rFonts w:ascii="Arial" w:hAnsi="Arial"/>
          <w:sz w:val="24"/>
          <w:szCs w:val="24"/>
        </w:rPr>
        <w:t>Gabinete da Prefeita Municipal de Salvador do Sul, 23 de outubro de 2015.</w:t>
      </w:r>
    </w:p>
    <w:p w:rsidR="00C32606" w:rsidRPr="00C32606" w:rsidRDefault="00C32606" w:rsidP="00C32606">
      <w:pPr>
        <w:ind w:firstLine="708"/>
        <w:jc w:val="both"/>
        <w:rPr>
          <w:rFonts w:ascii="Arial" w:hAnsi="Arial"/>
          <w:sz w:val="24"/>
          <w:szCs w:val="24"/>
        </w:rPr>
      </w:pPr>
    </w:p>
    <w:p w:rsidR="00C32606" w:rsidRPr="00C32606" w:rsidRDefault="00C32606" w:rsidP="00C32606">
      <w:pPr>
        <w:jc w:val="both"/>
        <w:rPr>
          <w:rFonts w:ascii="Arial" w:hAnsi="Arial"/>
          <w:sz w:val="24"/>
          <w:szCs w:val="24"/>
        </w:rPr>
      </w:pPr>
    </w:p>
    <w:p w:rsidR="00C32606" w:rsidRPr="00C32606" w:rsidRDefault="00C32606" w:rsidP="00C32606">
      <w:pPr>
        <w:pStyle w:val="Ttulo2"/>
        <w:jc w:val="center"/>
        <w:rPr>
          <w:b w:val="0"/>
          <w:bCs/>
          <w:szCs w:val="24"/>
        </w:rPr>
      </w:pPr>
      <w:r w:rsidRPr="00C32606">
        <w:rPr>
          <w:b w:val="0"/>
          <w:bCs/>
          <w:szCs w:val="24"/>
        </w:rPr>
        <w:t>CARLA MARIA SPECHT</w:t>
      </w:r>
    </w:p>
    <w:p w:rsidR="00C32606" w:rsidRPr="00C32606" w:rsidRDefault="00C32606" w:rsidP="00C32606">
      <w:pPr>
        <w:pStyle w:val="Ttulo2"/>
        <w:jc w:val="center"/>
        <w:rPr>
          <w:b w:val="0"/>
          <w:bCs/>
          <w:szCs w:val="24"/>
        </w:rPr>
      </w:pPr>
      <w:r w:rsidRPr="00C32606">
        <w:rPr>
          <w:b w:val="0"/>
          <w:bCs/>
          <w:szCs w:val="24"/>
        </w:rPr>
        <w:t>Prefeita Municipal</w:t>
      </w:r>
    </w:p>
    <w:p w:rsidR="00447AB1" w:rsidRPr="00C32606" w:rsidRDefault="00447AB1">
      <w:pPr>
        <w:rPr>
          <w:sz w:val="24"/>
          <w:szCs w:val="24"/>
        </w:rPr>
      </w:pPr>
    </w:p>
    <w:p w:rsidR="00C32606" w:rsidRPr="00C32606" w:rsidRDefault="00C32606" w:rsidP="00C32606">
      <w:pPr>
        <w:jc w:val="both"/>
        <w:rPr>
          <w:rFonts w:ascii="Arial" w:hAnsi="Arial" w:cs="Arial"/>
          <w:sz w:val="24"/>
          <w:szCs w:val="24"/>
        </w:rPr>
      </w:pPr>
      <w:r w:rsidRPr="00C32606">
        <w:rPr>
          <w:rFonts w:ascii="Arial" w:hAnsi="Arial" w:cs="Arial"/>
          <w:sz w:val="24"/>
          <w:szCs w:val="24"/>
        </w:rPr>
        <w:t>Registre-se e publique-se:</w:t>
      </w:r>
    </w:p>
    <w:p w:rsidR="00C32606" w:rsidRPr="00C32606" w:rsidRDefault="00C32606" w:rsidP="00C32606">
      <w:pPr>
        <w:jc w:val="both"/>
        <w:rPr>
          <w:rFonts w:ascii="Arial" w:hAnsi="Arial" w:cs="Arial"/>
          <w:sz w:val="24"/>
          <w:szCs w:val="24"/>
        </w:rPr>
      </w:pPr>
    </w:p>
    <w:p w:rsidR="00C32606" w:rsidRDefault="00C32606" w:rsidP="00C32606">
      <w:pPr>
        <w:jc w:val="both"/>
        <w:rPr>
          <w:rFonts w:ascii="Arial" w:hAnsi="Arial" w:cs="Arial"/>
          <w:sz w:val="24"/>
          <w:szCs w:val="24"/>
        </w:rPr>
      </w:pPr>
      <w:proofErr w:type="spellStart"/>
      <w:r>
        <w:rPr>
          <w:rFonts w:ascii="Arial" w:hAnsi="Arial" w:cs="Arial"/>
          <w:sz w:val="24"/>
          <w:szCs w:val="24"/>
        </w:rPr>
        <w:t>Clarina</w:t>
      </w:r>
      <w:proofErr w:type="spellEnd"/>
      <w:r>
        <w:rPr>
          <w:rFonts w:ascii="Arial" w:hAnsi="Arial" w:cs="Arial"/>
          <w:sz w:val="24"/>
          <w:szCs w:val="24"/>
        </w:rPr>
        <w:t xml:space="preserve"> </w:t>
      </w:r>
      <w:proofErr w:type="spellStart"/>
      <w:r>
        <w:rPr>
          <w:rFonts w:ascii="Arial" w:hAnsi="Arial" w:cs="Arial"/>
          <w:sz w:val="24"/>
          <w:szCs w:val="24"/>
        </w:rPr>
        <w:t>Elisabeta</w:t>
      </w:r>
      <w:proofErr w:type="spellEnd"/>
      <w:r>
        <w:rPr>
          <w:rFonts w:ascii="Arial" w:hAnsi="Arial" w:cs="Arial"/>
          <w:sz w:val="24"/>
          <w:szCs w:val="24"/>
        </w:rPr>
        <w:t xml:space="preserve"> Klein</w:t>
      </w:r>
    </w:p>
    <w:p w:rsidR="00C32606" w:rsidRPr="00C32606" w:rsidRDefault="00C32606" w:rsidP="00C32606">
      <w:pPr>
        <w:jc w:val="both"/>
        <w:rPr>
          <w:rFonts w:ascii="Arial" w:hAnsi="Arial" w:cs="Arial"/>
          <w:sz w:val="24"/>
          <w:szCs w:val="24"/>
        </w:rPr>
      </w:pPr>
      <w:r>
        <w:rPr>
          <w:rFonts w:ascii="Arial" w:hAnsi="Arial" w:cs="Arial"/>
          <w:sz w:val="24"/>
          <w:szCs w:val="24"/>
        </w:rPr>
        <w:t>Secretária da Administração</w:t>
      </w:r>
    </w:p>
    <w:p w:rsidR="00C32606" w:rsidRPr="00C32606" w:rsidRDefault="00C32606">
      <w:pPr>
        <w:rPr>
          <w:sz w:val="24"/>
          <w:szCs w:val="24"/>
        </w:rPr>
      </w:pPr>
    </w:p>
    <w:sectPr w:rsidR="00C32606" w:rsidRPr="00C32606" w:rsidSect="00D21D3A">
      <w:pgSz w:w="11906" w:h="16838" w:code="9"/>
      <w:pgMar w:top="2552"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606"/>
    <w:rsid w:val="001F5CCE"/>
    <w:rsid w:val="00334517"/>
    <w:rsid w:val="00447AB1"/>
    <w:rsid w:val="00C32606"/>
    <w:rsid w:val="00D21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EA8245-6AD4-4AEA-80BD-68ABEDC3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606"/>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C32606"/>
    <w:pPr>
      <w:keepNext/>
      <w:jc w:val="center"/>
      <w:outlineLvl w:val="0"/>
    </w:pPr>
    <w:rPr>
      <w:rFonts w:ascii="Arial" w:hAnsi="Arial"/>
      <w:sz w:val="24"/>
    </w:rPr>
  </w:style>
  <w:style w:type="paragraph" w:styleId="Ttulo2">
    <w:name w:val="heading 2"/>
    <w:basedOn w:val="Normal"/>
    <w:next w:val="Normal"/>
    <w:link w:val="Ttulo2Char"/>
    <w:qFormat/>
    <w:rsid w:val="00C32606"/>
    <w:pPr>
      <w:keepNext/>
      <w:outlineLvl w:val="1"/>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32606"/>
    <w:rPr>
      <w:rFonts w:ascii="Arial" w:eastAsia="Times New Roman" w:hAnsi="Arial" w:cs="Times New Roman"/>
      <w:sz w:val="24"/>
      <w:szCs w:val="20"/>
      <w:lang w:eastAsia="pt-BR"/>
    </w:rPr>
  </w:style>
  <w:style w:type="character" w:customStyle="1" w:styleId="Ttulo2Char">
    <w:name w:val="Título 2 Char"/>
    <w:basedOn w:val="Fontepargpadro"/>
    <w:link w:val="Ttulo2"/>
    <w:rsid w:val="00C32606"/>
    <w:rPr>
      <w:rFonts w:ascii="Arial" w:eastAsia="Times New Roman" w:hAnsi="Arial" w:cs="Times New Roman"/>
      <w:b/>
      <w:sz w:val="24"/>
      <w:szCs w:val="20"/>
      <w:lang w:eastAsia="pt-BR"/>
    </w:rPr>
  </w:style>
  <w:style w:type="paragraph" w:styleId="Recuodecorpodetexto">
    <w:name w:val="Body Text Indent"/>
    <w:basedOn w:val="Normal"/>
    <w:link w:val="RecuodecorpodetextoChar"/>
    <w:rsid w:val="00C32606"/>
    <w:pPr>
      <w:ind w:left="4820"/>
      <w:jc w:val="both"/>
    </w:pPr>
    <w:rPr>
      <w:rFonts w:ascii="Arial" w:hAnsi="Arial"/>
      <w:b/>
      <w:sz w:val="24"/>
    </w:rPr>
  </w:style>
  <w:style w:type="character" w:customStyle="1" w:styleId="RecuodecorpodetextoChar">
    <w:name w:val="Recuo de corpo de texto Char"/>
    <w:basedOn w:val="Fontepargpadro"/>
    <w:link w:val="Recuodecorpodetexto"/>
    <w:rsid w:val="00C32606"/>
    <w:rPr>
      <w:rFonts w:ascii="Arial" w:eastAsia="Times New Roman" w:hAnsi="Arial" w:cs="Times New Roman"/>
      <w:b/>
      <w:sz w:val="24"/>
      <w:szCs w:val="20"/>
      <w:lang w:eastAsia="pt-BR"/>
    </w:rPr>
  </w:style>
  <w:style w:type="paragraph" w:styleId="Recuodecorpodetexto2">
    <w:name w:val="Body Text Indent 2"/>
    <w:basedOn w:val="Normal"/>
    <w:link w:val="Recuodecorpodetexto2Char"/>
    <w:rsid w:val="00C32606"/>
    <w:pPr>
      <w:spacing w:after="120"/>
      <w:ind w:firstLine="709"/>
      <w:jc w:val="both"/>
    </w:pPr>
    <w:rPr>
      <w:rFonts w:ascii="Arial" w:hAnsi="Arial"/>
      <w:sz w:val="24"/>
    </w:rPr>
  </w:style>
  <w:style w:type="character" w:customStyle="1" w:styleId="Recuodecorpodetexto2Char">
    <w:name w:val="Recuo de corpo de texto 2 Char"/>
    <w:basedOn w:val="Fontepargpadro"/>
    <w:link w:val="Recuodecorpodetexto2"/>
    <w:rsid w:val="00C32606"/>
    <w:rPr>
      <w:rFonts w:ascii="Arial" w:eastAsia="Times New Roman" w:hAnsi="Arial" w:cs="Times New Roman"/>
      <w:sz w:val="24"/>
      <w:szCs w:val="20"/>
      <w:lang w:eastAsia="pt-BR"/>
    </w:rPr>
  </w:style>
  <w:style w:type="paragraph" w:styleId="Ttulo">
    <w:name w:val="Title"/>
    <w:basedOn w:val="Normal"/>
    <w:link w:val="TtuloChar"/>
    <w:qFormat/>
    <w:rsid w:val="00C32606"/>
    <w:pPr>
      <w:autoSpaceDE w:val="0"/>
      <w:autoSpaceDN w:val="0"/>
      <w:adjustRightInd w:val="0"/>
      <w:jc w:val="center"/>
    </w:pPr>
    <w:rPr>
      <w:i/>
      <w:sz w:val="28"/>
    </w:rPr>
  </w:style>
  <w:style w:type="character" w:customStyle="1" w:styleId="TtuloChar">
    <w:name w:val="Título Char"/>
    <w:basedOn w:val="Fontepargpadro"/>
    <w:link w:val="Ttulo"/>
    <w:rsid w:val="00C32606"/>
    <w:rPr>
      <w:rFonts w:ascii="Times New Roman" w:eastAsia="Times New Roman" w:hAnsi="Times New Roman" w:cs="Times New Roman"/>
      <w:i/>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0</TotalTime>
  <Pages>1</Pages>
  <Words>176</Words>
  <Characters>951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cp:lastModifiedBy>
  <cp:revision>2</cp:revision>
  <dcterms:created xsi:type="dcterms:W3CDTF">2015-10-30T17:34:00Z</dcterms:created>
  <dcterms:modified xsi:type="dcterms:W3CDTF">2015-10-30T17:34:00Z</dcterms:modified>
</cp:coreProperties>
</file>