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D0" w:rsidRDefault="006053D0" w:rsidP="006053D0">
      <w:pPr>
        <w:pStyle w:val="Recuodecorpodetexto"/>
        <w:ind w:left="0" w:right="-852"/>
        <w:jc w:val="center"/>
        <w:rPr>
          <w:rFonts w:asciiTheme="minorHAnsi" w:hAnsiTheme="minorHAnsi" w:cs="Arial"/>
          <w:sz w:val="22"/>
          <w:szCs w:val="22"/>
        </w:rPr>
      </w:pPr>
    </w:p>
    <w:p w:rsidR="006053D0" w:rsidRDefault="006053D0" w:rsidP="006053D0">
      <w:pPr>
        <w:pStyle w:val="Recuodecorpodetexto"/>
        <w:ind w:left="0" w:right="-852"/>
        <w:jc w:val="center"/>
        <w:rPr>
          <w:rFonts w:asciiTheme="minorHAnsi" w:hAnsiTheme="minorHAnsi"/>
          <w:sz w:val="22"/>
          <w:szCs w:val="22"/>
        </w:rPr>
      </w:pPr>
      <w:r>
        <w:rPr>
          <w:rFonts w:asciiTheme="minorHAnsi" w:hAnsiTheme="minorHAnsi" w:cs="Arial"/>
          <w:sz w:val="22"/>
          <w:szCs w:val="22"/>
        </w:rPr>
        <w:t>LEI Nº 3469 DE 03</w:t>
      </w:r>
      <w:r>
        <w:rPr>
          <w:rFonts w:asciiTheme="minorHAnsi" w:hAnsiTheme="minorHAnsi" w:cs="Arial"/>
          <w:sz w:val="22"/>
          <w:szCs w:val="22"/>
        </w:rPr>
        <w:t xml:space="preserve"> DE </w:t>
      </w:r>
      <w:r>
        <w:rPr>
          <w:rFonts w:asciiTheme="minorHAnsi" w:hAnsiTheme="minorHAnsi" w:cs="Arial"/>
          <w:sz w:val="22"/>
          <w:szCs w:val="22"/>
        </w:rPr>
        <w:t>DEZEMBRO</w:t>
      </w:r>
      <w:r>
        <w:rPr>
          <w:rFonts w:asciiTheme="minorHAnsi" w:hAnsiTheme="minorHAnsi" w:cs="Arial"/>
          <w:sz w:val="22"/>
          <w:szCs w:val="22"/>
        </w:rPr>
        <w:t xml:space="preserve"> DE 2019.</w:t>
      </w:r>
    </w:p>
    <w:p w:rsidR="006053D0" w:rsidRDefault="006053D0" w:rsidP="006053D0">
      <w:pPr>
        <w:ind w:left="4536" w:right="-852"/>
        <w:jc w:val="both"/>
        <w:rPr>
          <w:rFonts w:asciiTheme="minorHAnsi" w:hAnsiTheme="minorHAnsi" w:cstheme="majorHAnsi"/>
          <w:sz w:val="22"/>
          <w:szCs w:val="22"/>
        </w:rPr>
      </w:pPr>
    </w:p>
    <w:p w:rsidR="006053D0" w:rsidRDefault="006053D0" w:rsidP="006053D0">
      <w:pPr>
        <w:ind w:left="5664" w:right="-852"/>
        <w:jc w:val="both"/>
        <w:rPr>
          <w:rFonts w:asciiTheme="minorHAnsi" w:hAnsiTheme="minorHAnsi" w:cstheme="majorHAnsi"/>
          <w:b/>
          <w:sz w:val="22"/>
          <w:szCs w:val="22"/>
        </w:rPr>
      </w:pPr>
      <w:r>
        <w:rPr>
          <w:rFonts w:asciiTheme="minorHAnsi" w:hAnsiTheme="minorHAnsi" w:cstheme="majorHAnsi"/>
          <w:b/>
          <w:sz w:val="22"/>
          <w:szCs w:val="22"/>
        </w:rPr>
        <w:t>Dispõe sobre a recepção local e à aplicabilidade da Declaração de Direitos de Liberdade Econômica, prevista na Lei Federal nº 13.874, de 20 de setembro de 2019, no âmbito do Município de Salvador do Sul.</w:t>
      </w:r>
    </w:p>
    <w:p w:rsidR="006053D0" w:rsidRDefault="006053D0" w:rsidP="006053D0">
      <w:pPr>
        <w:ind w:left="5664" w:right="-852"/>
        <w:jc w:val="both"/>
        <w:rPr>
          <w:rFonts w:asciiTheme="minorHAnsi" w:hAnsiTheme="minorHAnsi" w:cstheme="majorHAnsi"/>
          <w:b/>
          <w:sz w:val="22"/>
          <w:szCs w:val="22"/>
        </w:rPr>
      </w:pPr>
    </w:p>
    <w:p w:rsidR="006053D0" w:rsidRDefault="006053D0" w:rsidP="006053D0">
      <w:pPr>
        <w:ind w:right="-852"/>
        <w:jc w:val="both"/>
        <w:rPr>
          <w:rFonts w:asciiTheme="minorHAnsi" w:hAnsiTheme="minorHAnsi"/>
          <w:sz w:val="22"/>
          <w:szCs w:val="22"/>
        </w:rPr>
      </w:pPr>
      <w:r>
        <w:rPr>
          <w:rFonts w:asciiTheme="minorHAnsi" w:hAnsiTheme="minorHAnsi" w:cs="Calibri"/>
          <w:color w:val="000000"/>
          <w:sz w:val="22"/>
          <w:szCs w:val="22"/>
        </w:rPr>
        <w:t xml:space="preserve">Marco Aurélio </w:t>
      </w:r>
      <w:proofErr w:type="spellStart"/>
      <w:r>
        <w:rPr>
          <w:rFonts w:asciiTheme="minorHAnsi" w:hAnsiTheme="minorHAnsi" w:cs="Calibri"/>
          <w:color w:val="000000"/>
          <w:sz w:val="22"/>
          <w:szCs w:val="22"/>
        </w:rPr>
        <w:t>Eckert</w:t>
      </w:r>
      <w:proofErr w:type="spellEnd"/>
      <w:r>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Pr>
          <w:rFonts w:asciiTheme="minorHAnsi" w:hAnsiTheme="minorHAnsi"/>
          <w:sz w:val="22"/>
          <w:szCs w:val="22"/>
        </w:rPr>
        <w:t>da Lei Orgânica do Município, faço saber que a Câmara Municipal de Vereadores aprovou e eu sanciono e promulgo a seguinte:</w:t>
      </w:r>
    </w:p>
    <w:p w:rsidR="006053D0" w:rsidRDefault="006053D0" w:rsidP="006053D0">
      <w:pPr>
        <w:ind w:left="-567" w:right="-852"/>
        <w:jc w:val="center"/>
        <w:rPr>
          <w:rFonts w:asciiTheme="minorHAnsi" w:hAnsiTheme="minorHAnsi"/>
          <w:b/>
          <w:sz w:val="22"/>
          <w:szCs w:val="22"/>
        </w:rPr>
      </w:pPr>
    </w:p>
    <w:p w:rsidR="006053D0" w:rsidRDefault="006053D0" w:rsidP="006053D0">
      <w:pPr>
        <w:ind w:left="-567" w:right="-852"/>
        <w:jc w:val="center"/>
        <w:rPr>
          <w:rFonts w:asciiTheme="minorHAnsi" w:hAnsiTheme="minorHAnsi"/>
          <w:b/>
          <w:sz w:val="22"/>
          <w:szCs w:val="22"/>
        </w:rPr>
      </w:pPr>
      <w:r>
        <w:rPr>
          <w:rFonts w:asciiTheme="minorHAnsi" w:hAnsiTheme="minorHAnsi"/>
          <w:b/>
          <w:sz w:val="22"/>
          <w:szCs w:val="22"/>
        </w:rPr>
        <w:t>LEI</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1º A recepção dos objetivos, dos princípios, dos direitos de pessoas físicas e jurídicas ao desenvolvimento econômico, à livre iniciativa e ao livre exercício de atividade econômica e do dever do ente público não cometer abuso no exercício do poder regulatório, previstos na Lei Federal nº 13.874, de 20 de setembro de 2019, no Município de Salvador do Sul, dar-se-á nos termos desta Lei.</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2º Para fins de aplicabilidade desta Lei, considera-se:</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r>
      <w:r>
        <w:rPr>
          <w:rFonts w:asciiTheme="minorHAnsi" w:hAnsiTheme="minorHAnsi" w:cstheme="majorHAnsi"/>
          <w:sz w:val="22"/>
          <w:szCs w:val="22"/>
        </w:rPr>
        <w:tab/>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 - atividade econômica: o ramo de atividade desejada pelo usuário identificado a partir da Classificação Nacional de Atividades Econômicas - CNAE e da lista de atividades auxiliares regulamentadas pela Comissão Nacional de Classificação - CONCLA do estabelecimento a ela associada, se houver;</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 - grau de risco: nível de perigo potencial de ocorrência de danos à integridade física e à saúde humana, ao meio ambiente ou ao patrimônio em decorrência de exercício de atividade econômica;</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III - parâmetros específicos de grau de risco: dados ou informações, tais como área ocupada, número de pavimentos ocupados para o exercício da atividade, dentre outros, que associados à atividade econômica atribuam a esta determinado grau de risco;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IV - baixo risco ou "baixo risco A": a classificação de atividades para os fins do inciso I do art. 3º da Lei federal nº 13.874, de 2019, cujo efeito específico e exclusivo é dispensar a necessidade de todos os atos públicos de liberação da atividade econômica para plena e contínua operação e funcionamento do estabelecimento;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V - médio risco ou "baixo risco B": a classificação de atividades cujo grau de risco não seja considerado alto e que não se enquadrem no conceito de baixo risco ou "baixo risco A", cujo efeito é permitir, automaticamente após o ato do registro, a emissão de licenças, alvarás e similares de caráter provisório para início da operação do estabelecimento, conforme previsto no caput do art. 7º da Lei Complementar Federal nº 123, de 14 de novembro de 2006, e no caput do art. 6º da Lei Federal nº 11.598, de 3 dezembro de 2007; </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VI - alto risco: aquelas assim definidas por outras resoluções do Comitê̂ para Gestão da Rede Nacional para a Simplificação do Registro e da Legalização de Empresas e Negócios - CGSIM ou por regulamento local, em atendimento aos requisitos de segurança sanitária, metrologia, controle ambiental e prevenção contra incêndios;</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VII - pesquisa previa: o ato pelo qual o interessado submete consultas ao Município sobre a possibilidade de exercício da atividade econômica desejada, no local escolhido de acordo com a descrição do endereço, devendo a resposta ser dada em um único atendimento;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VIII - parecer de viabilidade: a resposta fundamentada do Município que defere ou indefere a pesquisa prévia, no que diz respeito ao exercício da atividade em determinado endereço;</w:t>
      </w: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IX - Alvará de Funcionamento Provisório: documento emitido pelo Município para atividades de médio risco ou “baixo risco B” que permitirá́ o início de operação do estabelecimento imediatamente após o ato de registro empresarial, sem a necessidade de vistorias prévias por parte dos órgãos e entidades licenciadores, mediante assinatura de Termo de Ciência e Responsabilidade, ressalvadas aquelas que dispensam o referido licenciamento por serem consideradas como de baixo risco ou “baixo risco A”;</w:t>
      </w: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X - Termo de Ciência e Responsabilidade: instrumento em que o empresário ou responsável legal pela sociedade firma compromisso, sob as penas da lei, de observar os requisitos exigidos para funcionamento e exercício das atividades econômicas constantes do objeto social, para efeito de cumprimento das normas de segurança sanitária, ambiental e de prevenção contra incêndios;</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XI - conversão do Alvará de Funcionamento Provisório em Alvará de Funcionamento: caso o Município não promova as respectivas vistorias no prazo de vigência do Alvará de Funcionamento Provisório, este se converterá, automaticamente, em definitivo;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XII - licenciamento: o procedimento administrativo em que o órgão regulador avalia e verifica o preenchimento de requisitos de segurança̧ sanitária, controle ambiental, prevenção contra incêndios e demais requisitos previstos na legislação para autorizar o funcionamento de empresário individual, de empresa individual de responsabilidade limitada, de sociedade empresária ou de sociedade simples, excepcionado o procedimento vinculado à concessão de uso de espaço público;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XIII – </w:t>
      </w:r>
      <w:proofErr w:type="spellStart"/>
      <w:r>
        <w:rPr>
          <w:rFonts w:asciiTheme="minorHAnsi" w:hAnsiTheme="minorHAnsi" w:cstheme="majorHAnsi"/>
          <w:sz w:val="22"/>
          <w:szCs w:val="22"/>
        </w:rPr>
        <w:t>autodeclaração</w:t>
      </w:r>
      <w:proofErr w:type="spellEnd"/>
      <w:r>
        <w:rPr>
          <w:rFonts w:asciiTheme="minorHAnsi" w:hAnsiTheme="minorHAnsi" w:cstheme="majorHAnsi"/>
          <w:sz w:val="22"/>
          <w:szCs w:val="22"/>
        </w:rPr>
        <w:t>: instrumento pelo qual a empresa prestará ao Município, sob as penas da lei, o conjunto de informações necessárias ao enquadramento da atividade.</w:t>
      </w: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1º Para a realização da pesquisa prévia de que trata o inciso VI, além das atividades econômicas e da descrição do endereço, a Prefeitura poderá́ solicitar outros dados e informações relativos ao imóvel e sua localização, desde que se preserve a emissão eletrônica do parecer de viabilidade por meio de um único atendimento em até́ dois dias uteis.</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 2º Em atendimento único, referido no § 1º, a Prefeitura, juntamente com o parecer de viabilidade, deverá </w:t>
      </w:r>
      <w:proofErr w:type="spellStart"/>
      <w:r>
        <w:rPr>
          <w:rFonts w:asciiTheme="minorHAnsi" w:hAnsiTheme="minorHAnsi" w:cstheme="majorHAnsi"/>
          <w:sz w:val="22"/>
          <w:szCs w:val="22"/>
        </w:rPr>
        <w:t>fornecer</w:t>
      </w:r>
      <w:proofErr w:type="spellEnd"/>
      <w:r>
        <w:rPr>
          <w:rFonts w:asciiTheme="minorHAnsi" w:hAnsiTheme="minorHAnsi" w:cstheme="majorHAnsi"/>
          <w:sz w:val="22"/>
          <w:szCs w:val="22"/>
        </w:rPr>
        <w:t xml:space="preserve"> todas as informações sobre os requisitos a serem cumpridos pelo interessado para obtenção de licenças de autorização de funcionamento do empreendimento. </w:t>
      </w:r>
      <w:r>
        <w:rPr>
          <w:rFonts w:asciiTheme="minorHAnsi" w:hAnsiTheme="minorHAnsi" w:cstheme="majorHAnsi"/>
          <w:sz w:val="22"/>
          <w:szCs w:val="22"/>
        </w:rPr>
        <w:tab/>
      </w:r>
    </w:p>
    <w:p w:rsidR="006053D0" w:rsidRDefault="006053D0" w:rsidP="006053D0">
      <w:pPr>
        <w:ind w:left="756" w:right="-852"/>
        <w:jc w:val="both"/>
        <w:rPr>
          <w:rFonts w:asciiTheme="minorHAnsi" w:hAnsiTheme="minorHAnsi" w:cstheme="majorHAnsi"/>
          <w:sz w:val="22"/>
          <w:szCs w:val="22"/>
        </w:rPr>
      </w:pPr>
      <w:r>
        <w:rPr>
          <w:rFonts w:asciiTheme="minorHAnsi" w:hAnsiTheme="minorHAnsi" w:cstheme="majorHAnsi"/>
          <w:sz w:val="22"/>
          <w:szCs w:val="22"/>
        </w:rPr>
        <w:t>§ 3º As informações, referidas no § 2º, poderão ser fornecidas por meio de indicação de restrições para o exercício das atividades no local escolhido.</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 4º A observância das restrições referidas no § 3º deverá ser verificada durante o licenciamento.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 5º O licenciamento de que trata o inciso XII é posterior à emissão do parecer de viabilidade, registro profissional e inscrições tributarias. </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6º Nos casos de atividades de médio risco ou “baixo risco B”, o licenciamento dar-se-á́ após o início de funcionamento da empresa.</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 7º Além de realizar a pesquisa prévia prevista no §1º deste artigo, todo estabelecimento comercial, de prestação de serviços ou industrial, para funcionar, deverá consultar a </w:t>
      </w:r>
      <w:proofErr w:type="spellStart"/>
      <w:r>
        <w:rPr>
          <w:rFonts w:asciiTheme="minorHAnsi" w:hAnsiTheme="minorHAnsi" w:cstheme="majorHAnsi"/>
          <w:sz w:val="22"/>
          <w:szCs w:val="22"/>
        </w:rPr>
        <w:t>Prefeotura</w:t>
      </w:r>
      <w:proofErr w:type="spellEnd"/>
      <w:r>
        <w:rPr>
          <w:rFonts w:asciiTheme="minorHAnsi" w:hAnsiTheme="minorHAnsi" w:cstheme="majorHAnsi"/>
          <w:sz w:val="22"/>
          <w:szCs w:val="22"/>
        </w:rPr>
        <w:t xml:space="preserve">, através do </w:t>
      </w:r>
      <w:r>
        <w:rPr>
          <w:rFonts w:asciiTheme="minorHAnsi" w:hAnsiTheme="minorHAnsi" w:cstheme="majorHAnsi"/>
          <w:i/>
          <w:iCs/>
          <w:sz w:val="22"/>
          <w:szCs w:val="22"/>
        </w:rPr>
        <w:t>site</w:t>
      </w:r>
      <w:r>
        <w:rPr>
          <w:rFonts w:asciiTheme="minorHAnsi" w:hAnsiTheme="minorHAnsi" w:cstheme="majorHAnsi"/>
          <w:sz w:val="22"/>
          <w:szCs w:val="22"/>
        </w:rPr>
        <w:t xml:space="preserve"> do Município ou pessoalmente, no setor competente, onde será informado sobre o grau de risco do empreendimento e se ele está ou não sujeito a licença prévia municipal e o cumprimento de demais normas. </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xml:space="preserve">§ 8º Para realização da pesquisa prévia o requerente deve preencher formulário de </w:t>
      </w:r>
      <w:proofErr w:type="spellStart"/>
      <w:r>
        <w:rPr>
          <w:rFonts w:asciiTheme="minorHAnsi" w:hAnsiTheme="minorHAnsi" w:cstheme="majorHAnsi"/>
          <w:sz w:val="22"/>
          <w:szCs w:val="22"/>
        </w:rPr>
        <w:t>autodeclaração</w:t>
      </w:r>
      <w:proofErr w:type="spellEnd"/>
      <w:r>
        <w:rPr>
          <w:rFonts w:asciiTheme="minorHAnsi" w:hAnsiTheme="minorHAnsi" w:cstheme="majorHAnsi"/>
          <w:sz w:val="22"/>
          <w:szCs w:val="22"/>
        </w:rPr>
        <w:t xml:space="preserve"> prestando as seguintes informações:</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 - dados pessoais: Registro Geral - RG, Cadastro de Pessoa Física - CPF, dados de contato e endereço residencial.</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 - dados do seu negócio: tipo de atividade econômica, forma de atuação e local onde o negócio é realizado.</w:t>
      </w: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3º A Prefeitura classificará e enquadrará, por decreto, as atividades econômicas de baixo risco ou de baixo risco A e as atividades de alto risco.</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r>
      <w:r>
        <w:rPr>
          <w:rFonts w:asciiTheme="minorHAnsi" w:hAnsiTheme="minorHAnsi" w:cstheme="majorHAnsi"/>
          <w:sz w:val="22"/>
          <w:szCs w:val="22"/>
        </w:rPr>
        <w:tab/>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1º Serão consideradas de médio risco ou de baixo risco B as atividades econômicas não classificadas como de baixo risco ou baixo risco A ou como de alto risco.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2º As atividades de baixo risco ou "baixo risco A" não comportam vistoria para o exercício contínuo e regular da atividade, estando tão somente sujeitas à fiscalização de devido enquadramento posterior.</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 3º As atividades de médio risco ou "baixo risco B" comportam vistoria posterior para o exercício contínuo e regular da atividade.</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 4º As atividades de alto risco exigirão vistoria prévia para início da operação do estabelecimento.</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r>
      <w:r>
        <w:rPr>
          <w:rFonts w:asciiTheme="minorHAnsi" w:hAnsiTheme="minorHAnsi" w:cstheme="majorHAnsi"/>
          <w:sz w:val="22"/>
          <w:szCs w:val="22"/>
        </w:rPr>
        <w:tab/>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4º Se a atividade econômica for exercida em zona urbana, somente será qualificada como de baixo risco ou "baixo risco A" quando:</w:t>
      </w:r>
    </w:p>
    <w:p w:rsidR="006053D0" w:rsidRDefault="006053D0" w:rsidP="006053D0">
      <w:pPr>
        <w:ind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 - executada em área sobre a qual o seu exercício é plenamente regular, conforme determinações do zoneamento urbano aplicável, incluindo a legislação municipal ou, nos termos do art. 7º da Lei Complementar Federal nº 123, de 2006, quando instaladas em área ou edificação desprovidas de regulação fundiária, imobiliária e edilícia, inclusive habite-se; ou</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II - exploradas em estabelecimento inócuo ou virtual, assim entendido aquele:</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a) exercido na residência do empresário, titular ou sócio, na hipótese em que a atividade não gere grande circulação de pessoas; ou</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b) em que a atividade exercida for tipicamente digital, de modo que não exija estabelecimento físico para a sua operação.</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Parágrafo único. Consideram-se também de baixo risco ou "baixo risco A" todas as demais atividades econômicas que, independentemente de sua natureza, forem assim classificadas pelo Município de Salvador do Sul.</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5º Para fins de prevenção contra incêndio e pânico, qualificam-se como de baixo risco ou "baixo risco A" aquelas atividades realizadas:</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I - na residência do empreendedor, sem recepção de pessoas; ou</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 - em edificações diversas da residência, se a ocupação da atividade tiver ao todo até duzentos metros quadrados e for realizada:</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a) em edificação que não tenha mais de três pavimentos;</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b) em locais de reunião de público com lotação até cem pessoas;</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c) em local sem subsolo com uso distinto de estacionamento;</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d) sem possuir líquido inflamável ou combustível acima de mil litros; e</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e) sem possuir gás liquefeito de petróleo – GLP, acima de cento e noventa quilogramas.</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 xml:space="preserve">Art. 6º Para fins de segurança sanitária e ambiental, qualificam-se como de baixo risco ou "baixo risco A" as atividades assim definidas nos termos do </w:t>
      </w:r>
      <w:r>
        <w:rPr>
          <w:rFonts w:asciiTheme="minorHAnsi" w:hAnsiTheme="minorHAnsi" w:cstheme="majorHAnsi"/>
          <w:i/>
          <w:iCs/>
          <w:sz w:val="22"/>
          <w:szCs w:val="22"/>
        </w:rPr>
        <w:t>caput</w:t>
      </w:r>
      <w:r>
        <w:rPr>
          <w:rFonts w:asciiTheme="minorHAnsi" w:hAnsiTheme="minorHAnsi" w:cstheme="majorHAnsi"/>
          <w:sz w:val="22"/>
          <w:szCs w:val="22"/>
        </w:rPr>
        <w:t xml:space="preserve"> do art. 3º desta Lei.</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 xml:space="preserve">Art. 7º O disposto nesta Lei não dispensa: </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firstLine="708"/>
        <w:jc w:val="both"/>
        <w:rPr>
          <w:rFonts w:asciiTheme="minorHAnsi" w:hAnsiTheme="minorHAnsi" w:cstheme="majorHAnsi"/>
          <w:sz w:val="22"/>
          <w:szCs w:val="22"/>
        </w:rPr>
      </w:pPr>
      <w:r>
        <w:rPr>
          <w:rFonts w:asciiTheme="minorHAnsi" w:hAnsiTheme="minorHAnsi" w:cstheme="majorHAnsi"/>
          <w:sz w:val="22"/>
          <w:szCs w:val="22"/>
        </w:rPr>
        <w:t>I - registro profissional ou empresarial;</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t>II -  cadastramento tributário;</w:t>
      </w:r>
    </w:p>
    <w:p w:rsidR="006053D0" w:rsidRDefault="006053D0" w:rsidP="006053D0">
      <w:pPr>
        <w:ind w:right="-852" w:firstLine="708"/>
        <w:jc w:val="both"/>
        <w:rPr>
          <w:rFonts w:asciiTheme="minorHAnsi" w:hAnsiTheme="minorHAnsi" w:cstheme="majorHAnsi"/>
          <w:sz w:val="22"/>
          <w:szCs w:val="22"/>
        </w:rPr>
      </w:pPr>
      <w:r>
        <w:rPr>
          <w:rFonts w:asciiTheme="minorHAnsi" w:hAnsiTheme="minorHAnsi" w:cstheme="majorHAnsi"/>
          <w:sz w:val="22"/>
          <w:szCs w:val="22"/>
        </w:rPr>
        <w:t>III - cadastramento previdenciário;</w:t>
      </w:r>
    </w:p>
    <w:p w:rsidR="006053D0" w:rsidRDefault="006053D0" w:rsidP="00734FF8">
      <w:pPr>
        <w:ind w:left="708" w:right="-852"/>
        <w:jc w:val="both"/>
        <w:rPr>
          <w:rFonts w:asciiTheme="minorHAnsi" w:hAnsiTheme="minorHAnsi" w:cstheme="majorHAnsi"/>
          <w:sz w:val="22"/>
          <w:szCs w:val="22"/>
        </w:rPr>
      </w:pPr>
      <w:r>
        <w:rPr>
          <w:rFonts w:asciiTheme="minorHAnsi" w:hAnsiTheme="minorHAnsi" w:cstheme="majorHAnsi"/>
          <w:sz w:val="22"/>
          <w:szCs w:val="22"/>
        </w:rPr>
        <w:t>IV - fiscalização de exercício regular de atividade para fins sanitários, ambientais e de prevenção de incêndio e pânico.</w:t>
      </w:r>
    </w:p>
    <w:p w:rsidR="006053D0" w:rsidRDefault="006053D0" w:rsidP="006053D0">
      <w:pPr>
        <w:ind w:left="708" w:right="-852"/>
        <w:jc w:val="both"/>
        <w:rPr>
          <w:rFonts w:asciiTheme="minorHAnsi" w:hAnsiTheme="minorHAnsi" w:cstheme="majorHAnsi"/>
          <w:sz w:val="22"/>
          <w:szCs w:val="22"/>
        </w:rPr>
      </w:pPr>
    </w:p>
    <w:p w:rsidR="006053D0" w:rsidRDefault="006053D0" w:rsidP="005A581C">
      <w:pPr>
        <w:ind w:right="-852"/>
        <w:jc w:val="both"/>
        <w:rPr>
          <w:rFonts w:asciiTheme="minorHAnsi" w:hAnsiTheme="minorHAnsi" w:cstheme="majorHAnsi"/>
          <w:sz w:val="22"/>
          <w:szCs w:val="22"/>
        </w:rPr>
      </w:pPr>
      <w:bookmarkStart w:id="0" w:name="_GoBack"/>
      <w:bookmarkEnd w:id="0"/>
      <w:r>
        <w:rPr>
          <w:rFonts w:asciiTheme="minorHAnsi" w:hAnsiTheme="minorHAnsi" w:cstheme="majorHAnsi"/>
          <w:sz w:val="22"/>
          <w:szCs w:val="22"/>
        </w:rPr>
        <w:t>Parágrafo único. A taxa de fiscalização, nos termos do inciso IV deste artigo, será regularmente cobrada pela Município de Salvador do Sul.</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8º A empresa que informar, inclusive eletronicamente, ao Corpo de Bombeiros, que a edificação onde está localizado o estabelecimento cumpre os requisitos de prevenção contra incêndios e pânico, para uso ou ocupação que não implique em alteração do conjunto de medidas preventivas, poderá receber o mesmo tratamento dispensado às atividades econômicas de médio risco ou "baixo risco B".</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9º. Quanto ao Microempreendedor Individual - MEI:</w:t>
      </w:r>
    </w:p>
    <w:p w:rsidR="006053D0" w:rsidRDefault="006053D0" w:rsidP="006053D0">
      <w:pPr>
        <w:ind w:right="-852"/>
        <w:jc w:val="both"/>
        <w:rPr>
          <w:rFonts w:asciiTheme="minorHAnsi" w:hAnsiTheme="minorHAnsi" w:cstheme="majorHAnsi"/>
          <w:sz w:val="22"/>
          <w:szCs w:val="22"/>
        </w:rPr>
      </w:pP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 - se ele manifestar sua concordância com o conteúdo do Termo de Ciência e Responsabilidade com Efeito de Alvará de Licença de Funcionamento Provisório, com prazo de vigência de cento e oitenta dias, a partir do ato de inscrição ou alteração, emitido eletronicamente, que permitirá o exercício de suas atividades, exceto nos casos de atividades consideradas de alto risco, observada a dispensa de alvarás para as situações de baixo risco ou "baixo risco A";</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 - as vistorias necessárias à emissão de licenças e de autorizações de funcionamento deverão ser realizadas após o início de operação da atividade do MEI, quando a sua atividade for considerada de médio risco ou "baixo risco B";</w:t>
      </w:r>
    </w:p>
    <w:p w:rsidR="006053D0" w:rsidRDefault="006053D0" w:rsidP="006053D0">
      <w:pPr>
        <w:ind w:left="708" w:right="-852"/>
        <w:jc w:val="both"/>
        <w:rPr>
          <w:rFonts w:asciiTheme="minorHAnsi" w:hAnsiTheme="minorHAnsi" w:cstheme="majorHAnsi"/>
          <w:sz w:val="22"/>
          <w:szCs w:val="22"/>
        </w:rPr>
      </w:pPr>
      <w:r>
        <w:rPr>
          <w:rFonts w:asciiTheme="minorHAnsi" w:hAnsiTheme="minorHAnsi" w:cstheme="majorHAnsi"/>
          <w:sz w:val="22"/>
          <w:szCs w:val="22"/>
        </w:rPr>
        <w:t>III - no caso de atividades consideradas de médio risco ou "baixo risco B", poderá o município dispensar o MEI do alvará quando o endereço registrado for residencial e na hipótese de a atividade ser exercida fora de estabelecimento.</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 xml:space="preserve">Art. 10. A Prefeitura deverá garantir que, em solicitação de atos públicos de liberação da atividade econômica,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para todos os efeitos, ressalvadas as hipóteses de licenciamento ambiental e demais casos expressamente vedados em lei. </w:t>
      </w:r>
    </w:p>
    <w:p w:rsidR="00734FF8" w:rsidRDefault="00734FF8"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Parágrafo único. O prazo de que trata este artigo será fixado em cada caso, considerando o grau de complexidade de cada licenciamento.</w:t>
      </w:r>
    </w:p>
    <w:p w:rsidR="006053D0" w:rsidRDefault="006053D0" w:rsidP="006053D0">
      <w:pPr>
        <w:ind w:right="-852"/>
        <w:jc w:val="both"/>
        <w:rPr>
          <w:rFonts w:asciiTheme="minorHAnsi" w:hAnsiTheme="minorHAnsi" w:cstheme="majorHAnsi"/>
          <w:sz w:val="22"/>
          <w:szCs w:val="22"/>
        </w:rPr>
      </w:pP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 xml:space="preserve"> Art. 11. Os direitos que trata a Lei Federal nº 13.874, de 2019, serão compatibilizados com as normas que tratam de segurança pública, meio ambiente, </w:t>
      </w:r>
      <w:proofErr w:type="spellStart"/>
      <w:r>
        <w:rPr>
          <w:rFonts w:asciiTheme="minorHAnsi" w:hAnsiTheme="minorHAnsi" w:cstheme="majorHAnsi"/>
          <w:sz w:val="22"/>
          <w:szCs w:val="22"/>
        </w:rPr>
        <w:t>sanitarismo</w:t>
      </w:r>
      <w:proofErr w:type="spellEnd"/>
      <w:r>
        <w:rPr>
          <w:rFonts w:asciiTheme="minorHAnsi" w:hAnsiTheme="minorHAnsi" w:cstheme="majorHAnsi"/>
          <w:sz w:val="22"/>
          <w:szCs w:val="22"/>
        </w:rPr>
        <w:t xml:space="preserve"> ou saúde pública, posturas, acessibilidade, prevenção de incêndio e pânico e tributos, mediante procedimentos simplificados para obtenção destes atos públicos de liberação.</w:t>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b/>
      </w:r>
      <w:r>
        <w:rPr>
          <w:rFonts w:asciiTheme="minorHAnsi" w:hAnsiTheme="minorHAnsi" w:cstheme="majorHAnsi"/>
          <w:sz w:val="22"/>
          <w:szCs w:val="22"/>
        </w:rPr>
        <w:tab/>
      </w:r>
    </w:p>
    <w:p w:rsidR="006053D0" w:rsidRDefault="006053D0" w:rsidP="006053D0">
      <w:pPr>
        <w:ind w:right="-852"/>
        <w:jc w:val="both"/>
        <w:rPr>
          <w:rFonts w:asciiTheme="minorHAnsi" w:hAnsiTheme="minorHAnsi" w:cstheme="majorHAnsi"/>
          <w:sz w:val="22"/>
          <w:szCs w:val="22"/>
        </w:rPr>
      </w:pPr>
      <w:r>
        <w:rPr>
          <w:rFonts w:asciiTheme="minorHAnsi" w:hAnsiTheme="minorHAnsi" w:cstheme="majorHAnsi"/>
          <w:sz w:val="22"/>
          <w:szCs w:val="22"/>
        </w:rPr>
        <w:t>Art. 12. Esta Lei entra em vigor na data da sua publicação.</w:t>
      </w:r>
    </w:p>
    <w:p w:rsidR="006053D0" w:rsidRDefault="006053D0" w:rsidP="006053D0">
      <w:pPr>
        <w:ind w:right="-852"/>
        <w:jc w:val="both"/>
        <w:rPr>
          <w:rFonts w:asciiTheme="minorHAnsi" w:hAnsiTheme="minorHAnsi"/>
          <w:sz w:val="22"/>
          <w:szCs w:val="22"/>
        </w:rPr>
      </w:pPr>
    </w:p>
    <w:p w:rsidR="006053D0" w:rsidRDefault="006053D0" w:rsidP="006053D0">
      <w:pPr>
        <w:ind w:right="-852"/>
        <w:jc w:val="both"/>
        <w:rPr>
          <w:rFonts w:asciiTheme="minorHAnsi" w:hAnsiTheme="minorHAnsi"/>
          <w:sz w:val="22"/>
          <w:szCs w:val="22"/>
        </w:rPr>
      </w:pPr>
    </w:p>
    <w:p w:rsidR="006053D0" w:rsidRDefault="006053D0" w:rsidP="006053D0">
      <w:pPr>
        <w:pStyle w:val="Corpodetexto"/>
        <w:spacing w:line="276" w:lineRule="auto"/>
        <w:ind w:left="708" w:right="-852"/>
        <w:jc w:val="right"/>
        <w:rPr>
          <w:rFonts w:ascii="Calibri" w:hAnsi="Calibri" w:cs="Arial"/>
          <w:sz w:val="22"/>
          <w:szCs w:val="22"/>
        </w:rPr>
      </w:pPr>
      <w:r>
        <w:rPr>
          <w:rFonts w:ascii="Calibri" w:hAnsi="Calibri" w:cs="Arial"/>
          <w:sz w:val="22"/>
          <w:szCs w:val="22"/>
        </w:rPr>
        <w:t xml:space="preserve">GABINETE DO PREFEITO MUNICIPAL DE SALVADOR DO SUL, </w:t>
      </w:r>
      <w:r>
        <w:rPr>
          <w:rFonts w:ascii="Calibri" w:hAnsi="Calibri" w:cs="Arial"/>
          <w:sz w:val="22"/>
          <w:szCs w:val="22"/>
        </w:rPr>
        <w:t>03 DE DEZEMBRO</w:t>
      </w:r>
      <w:r>
        <w:rPr>
          <w:rFonts w:ascii="Calibri" w:hAnsi="Calibri" w:cs="Arial"/>
          <w:sz w:val="22"/>
          <w:szCs w:val="22"/>
        </w:rPr>
        <w:t xml:space="preserve"> DE 2019. </w:t>
      </w:r>
    </w:p>
    <w:p w:rsidR="006053D0" w:rsidRDefault="006053D0" w:rsidP="006053D0">
      <w:pPr>
        <w:ind w:right="-569"/>
        <w:rPr>
          <w:rFonts w:cs="Arial"/>
        </w:rPr>
      </w:pPr>
    </w:p>
    <w:p w:rsidR="006053D0" w:rsidRDefault="006053D0" w:rsidP="006053D0">
      <w:pPr>
        <w:ind w:right="-569"/>
        <w:rPr>
          <w:rFonts w:cs="Arial"/>
        </w:rPr>
      </w:pPr>
    </w:p>
    <w:p w:rsidR="006053D0" w:rsidRDefault="006053D0" w:rsidP="006053D0">
      <w:pPr>
        <w:jc w:val="center"/>
        <w:rPr>
          <w:rFonts w:cs="Arial"/>
        </w:rPr>
      </w:pPr>
    </w:p>
    <w:p w:rsidR="006053D0" w:rsidRDefault="006053D0" w:rsidP="006053D0">
      <w:pPr>
        <w:jc w:val="center"/>
        <w:rPr>
          <w:rFonts w:ascii="Calibri" w:hAnsi="Calibri" w:cs="Arial"/>
          <w:sz w:val="22"/>
          <w:szCs w:val="22"/>
        </w:rPr>
      </w:pPr>
      <w:r>
        <w:rPr>
          <w:rFonts w:ascii="Calibri" w:hAnsi="Calibri" w:cs="Arial"/>
          <w:sz w:val="22"/>
          <w:szCs w:val="22"/>
        </w:rPr>
        <w:t>MARCO AURÉLIO ECKERT</w:t>
      </w:r>
    </w:p>
    <w:p w:rsidR="006053D0" w:rsidRDefault="006053D0" w:rsidP="006053D0">
      <w:pPr>
        <w:jc w:val="center"/>
        <w:rPr>
          <w:rFonts w:ascii="Calibri" w:hAnsi="Calibri" w:cs="Arial"/>
          <w:sz w:val="22"/>
          <w:szCs w:val="22"/>
        </w:rPr>
      </w:pPr>
      <w:r>
        <w:rPr>
          <w:rFonts w:ascii="Calibri" w:hAnsi="Calibri" w:cs="Arial"/>
          <w:sz w:val="22"/>
          <w:szCs w:val="22"/>
        </w:rPr>
        <w:t>Prefeito Municipal</w:t>
      </w:r>
    </w:p>
    <w:p w:rsidR="00734FF8" w:rsidRDefault="00734FF8" w:rsidP="006053D0">
      <w:pPr>
        <w:ind w:right="-852"/>
        <w:jc w:val="both"/>
        <w:rPr>
          <w:rFonts w:asciiTheme="minorHAnsi" w:hAnsiTheme="minorHAnsi"/>
          <w:sz w:val="22"/>
          <w:szCs w:val="22"/>
        </w:rPr>
      </w:pPr>
    </w:p>
    <w:p w:rsidR="006053D0" w:rsidRDefault="006053D0" w:rsidP="006053D0">
      <w:pPr>
        <w:pStyle w:val="SemEspaamento"/>
        <w:ind w:right="-852"/>
        <w:rPr>
          <w:rFonts w:asciiTheme="minorHAnsi" w:hAnsiTheme="minorHAnsi" w:cs="Calibri"/>
        </w:rPr>
      </w:pPr>
      <w:r>
        <w:rPr>
          <w:rFonts w:asciiTheme="minorHAnsi" w:hAnsiTheme="minorHAnsi" w:cs="Calibri"/>
        </w:rPr>
        <w:t>Registre-se e publique-se:</w:t>
      </w:r>
    </w:p>
    <w:p w:rsidR="00590FAF" w:rsidRDefault="006053D0" w:rsidP="006053D0">
      <w:r>
        <w:rPr>
          <w:rFonts w:asciiTheme="minorHAnsi" w:hAnsiTheme="minorHAnsi" w:cs="Calibri"/>
          <w:sz w:val="22"/>
          <w:szCs w:val="22"/>
        </w:rPr>
        <w:t xml:space="preserve">Jose Fernando </w:t>
      </w:r>
      <w:proofErr w:type="spellStart"/>
      <w:r>
        <w:rPr>
          <w:rFonts w:asciiTheme="minorHAnsi" w:hAnsiTheme="minorHAnsi" w:cs="Calibri"/>
          <w:sz w:val="22"/>
          <w:szCs w:val="22"/>
        </w:rPr>
        <w:t>Lunckes</w:t>
      </w:r>
      <w:proofErr w:type="spellEnd"/>
      <w:r>
        <w:rPr>
          <w:rFonts w:asciiTheme="minorHAnsi" w:hAnsiTheme="minorHAnsi" w:cs="Calibri"/>
          <w:sz w:val="22"/>
          <w:szCs w:val="22"/>
        </w:rPr>
        <w:t xml:space="preserve"> </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 xml:space="preserve">                      Secretário Municipal de Gestão e Finanças</w:t>
      </w:r>
    </w:p>
    <w:sectPr w:rsidR="00590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D0"/>
    <w:rsid w:val="00590FAF"/>
    <w:rsid w:val="005A581C"/>
    <w:rsid w:val="006053D0"/>
    <w:rsid w:val="00734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2D628-E4AD-4154-A3EE-3A888444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3D0"/>
    <w:pPr>
      <w:widowControl w:val="0"/>
      <w:overflowPunct w:val="0"/>
      <w:autoSpaceDE w:val="0"/>
      <w:autoSpaceDN w:val="0"/>
      <w:adjustRightInd w:val="0"/>
      <w:spacing w:after="0" w:line="240" w:lineRule="auto"/>
    </w:pPr>
    <w:rPr>
      <w:rFonts w:ascii="Verdana" w:eastAsia="Times New Roman" w:hAnsi="Verdan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053D0"/>
    <w:pPr>
      <w:spacing w:after="120"/>
    </w:pPr>
  </w:style>
  <w:style w:type="character" w:customStyle="1" w:styleId="CorpodetextoChar">
    <w:name w:val="Corpo de texto Char"/>
    <w:basedOn w:val="Fontepargpadro"/>
    <w:link w:val="Corpodetexto"/>
    <w:uiPriority w:val="99"/>
    <w:semiHidden/>
    <w:rsid w:val="006053D0"/>
    <w:rPr>
      <w:rFonts w:ascii="Verdana" w:eastAsia="Times New Roman" w:hAnsi="Verdana" w:cs="Times New Roman"/>
      <w:sz w:val="20"/>
      <w:szCs w:val="20"/>
      <w:lang w:eastAsia="pt-BR"/>
    </w:rPr>
  </w:style>
  <w:style w:type="paragraph" w:styleId="Recuodecorpodetexto">
    <w:name w:val="Body Text Indent"/>
    <w:basedOn w:val="Normal"/>
    <w:link w:val="RecuodecorpodetextoChar"/>
    <w:semiHidden/>
    <w:unhideWhenUsed/>
    <w:rsid w:val="006053D0"/>
    <w:pPr>
      <w:widowControl/>
      <w:overflowPunct/>
      <w:autoSpaceDE/>
      <w:autoSpaceDN/>
      <w:adjustRightInd/>
      <w:ind w:left="4245"/>
      <w:jc w:val="both"/>
    </w:pPr>
    <w:rPr>
      <w:rFonts w:ascii="Arial" w:hAnsi="Arial"/>
      <w:b/>
      <w:sz w:val="24"/>
    </w:rPr>
  </w:style>
  <w:style w:type="character" w:customStyle="1" w:styleId="RecuodecorpodetextoChar">
    <w:name w:val="Recuo de corpo de texto Char"/>
    <w:basedOn w:val="Fontepargpadro"/>
    <w:link w:val="Recuodecorpodetexto"/>
    <w:semiHidden/>
    <w:rsid w:val="006053D0"/>
    <w:rPr>
      <w:rFonts w:ascii="Arial" w:eastAsia="Times New Roman" w:hAnsi="Arial" w:cs="Times New Roman"/>
      <w:b/>
      <w:sz w:val="24"/>
      <w:szCs w:val="20"/>
      <w:lang w:eastAsia="pt-BR"/>
    </w:rPr>
  </w:style>
  <w:style w:type="paragraph" w:styleId="SemEspaamento">
    <w:name w:val="No Spacing"/>
    <w:uiPriority w:val="1"/>
    <w:qFormat/>
    <w:rsid w:val="006053D0"/>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5A581C"/>
    <w:rPr>
      <w:rFonts w:ascii="Segoe UI" w:hAnsi="Segoe UI" w:cs="Segoe UI"/>
      <w:sz w:val="18"/>
      <w:szCs w:val="18"/>
    </w:rPr>
  </w:style>
  <w:style w:type="character" w:customStyle="1" w:styleId="TextodebaloChar">
    <w:name w:val="Texto de balão Char"/>
    <w:basedOn w:val="Fontepargpadro"/>
    <w:link w:val="Textodebalo"/>
    <w:uiPriority w:val="99"/>
    <w:semiHidden/>
    <w:rsid w:val="005A581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35944">
      <w:bodyDiv w:val="1"/>
      <w:marLeft w:val="0"/>
      <w:marRight w:val="0"/>
      <w:marTop w:val="0"/>
      <w:marBottom w:val="0"/>
      <w:divBdr>
        <w:top w:val="none" w:sz="0" w:space="0" w:color="auto"/>
        <w:left w:val="none" w:sz="0" w:space="0" w:color="auto"/>
        <w:bottom w:val="none" w:sz="0" w:space="0" w:color="auto"/>
        <w:right w:val="none" w:sz="0" w:space="0" w:color="auto"/>
      </w:divBdr>
    </w:div>
    <w:div w:id="1480339475">
      <w:bodyDiv w:val="1"/>
      <w:marLeft w:val="0"/>
      <w:marRight w:val="0"/>
      <w:marTop w:val="0"/>
      <w:marBottom w:val="0"/>
      <w:divBdr>
        <w:top w:val="none" w:sz="0" w:space="0" w:color="auto"/>
        <w:left w:val="none" w:sz="0" w:space="0" w:color="auto"/>
        <w:bottom w:val="none" w:sz="0" w:space="0" w:color="auto"/>
        <w:right w:val="none" w:sz="0" w:space="0" w:color="auto"/>
      </w:divBdr>
    </w:div>
    <w:div w:id="16798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2000</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3</cp:revision>
  <cp:lastPrinted>2019-12-03T17:46:00Z</cp:lastPrinted>
  <dcterms:created xsi:type="dcterms:W3CDTF">2019-12-03T17:40:00Z</dcterms:created>
  <dcterms:modified xsi:type="dcterms:W3CDTF">2019-12-03T17:48:00Z</dcterms:modified>
</cp:coreProperties>
</file>